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3094" w14:textId="77777777" w:rsidR="003F4755" w:rsidRDefault="003F47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5415"/>
      </w:tblGrid>
      <w:tr w:rsidR="005852D7" w:rsidRPr="00175F32" w14:paraId="62BB4CB7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2377B9" w14:textId="77777777" w:rsidR="005852D7" w:rsidRPr="00175F32" w:rsidRDefault="005852D7" w:rsidP="00D70FC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DOCUMENT: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4D4" w14:textId="77777777" w:rsidR="005852D7" w:rsidRPr="005852D7" w:rsidRDefault="005852D7" w:rsidP="00D70FC5">
            <w:pPr>
              <w:rPr>
                <w:rFonts w:cs="Calibri"/>
                <w:b/>
                <w:szCs w:val="22"/>
              </w:rPr>
            </w:pPr>
            <w:r w:rsidRPr="005852D7">
              <w:rPr>
                <w:rFonts w:cs="Calibri"/>
                <w:b/>
                <w:szCs w:val="22"/>
              </w:rPr>
              <w:t>RENT SETTING POLICY</w:t>
            </w:r>
          </w:p>
        </w:tc>
      </w:tr>
      <w:tr w:rsidR="007C305E" w:rsidRPr="00175F32" w14:paraId="15571AAC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7AEF0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DOCUMENT TYPE: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DF79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OPERATIONAL POLICY</w:t>
            </w:r>
          </w:p>
        </w:tc>
      </w:tr>
      <w:tr w:rsidR="007C305E" w:rsidRPr="00175F32" w14:paraId="033E8AE9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A6F9B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VERSION: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F63F" w14:textId="6C155107" w:rsidR="007C305E" w:rsidRPr="00175F32" w:rsidRDefault="007D392A" w:rsidP="00D70FC5">
            <w:pPr>
              <w:rPr>
                <w:szCs w:val="22"/>
              </w:rPr>
            </w:pPr>
            <w:r>
              <w:rPr>
                <w:rFonts w:cs="Calibri"/>
                <w:szCs w:val="22"/>
              </w:rPr>
              <w:t xml:space="preserve">Version 2 - </w:t>
            </w:r>
            <w:r w:rsidR="00C44B69">
              <w:rPr>
                <w:rFonts w:cs="Calibri"/>
                <w:szCs w:val="22"/>
              </w:rPr>
              <w:t>FINAL</w:t>
            </w:r>
          </w:p>
        </w:tc>
      </w:tr>
      <w:tr w:rsidR="007C305E" w:rsidRPr="00175F32" w14:paraId="02E13D8A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63ACB8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AUTHOR: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B86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PCSM</w:t>
            </w:r>
          </w:p>
        </w:tc>
      </w:tr>
      <w:tr w:rsidR="007C305E" w:rsidRPr="00175F32" w14:paraId="60EC2A30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0287FD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AUTHORISATION FINAL VERSION: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B8DF" w14:textId="77777777" w:rsidR="007C305E" w:rsidRPr="00175F32" w:rsidRDefault="00C44B69" w:rsidP="00D70FC5">
            <w:pPr>
              <w:rPr>
                <w:szCs w:val="22"/>
              </w:rPr>
            </w:pPr>
            <w:r>
              <w:rPr>
                <w:szCs w:val="22"/>
              </w:rPr>
              <w:t>CEO</w:t>
            </w:r>
          </w:p>
        </w:tc>
      </w:tr>
      <w:tr w:rsidR="007C305E" w:rsidRPr="00175F32" w14:paraId="6A5849D7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1B51EC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ISSUE DATE: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A673" w14:textId="3EE48012" w:rsidR="007C305E" w:rsidRPr="00175F32" w:rsidRDefault="00D0627B" w:rsidP="00D70FC5">
            <w:pPr>
              <w:rPr>
                <w:szCs w:val="22"/>
              </w:rPr>
            </w:pPr>
            <w:r>
              <w:rPr>
                <w:szCs w:val="22"/>
              </w:rPr>
              <w:t>Updated Feb 2023</w:t>
            </w:r>
          </w:p>
        </w:tc>
      </w:tr>
      <w:tr w:rsidR="007C305E" w:rsidRPr="00175F32" w14:paraId="0C68D7F0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5A28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REVIEW DATE: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1F8A" w14:textId="0BE079CB" w:rsidR="007C305E" w:rsidRPr="00175F32" w:rsidRDefault="00D0627B" w:rsidP="00D70FC5">
            <w:pPr>
              <w:rPr>
                <w:szCs w:val="22"/>
              </w:rPr>
            </w:pPr>
            <w:r>
              <w:rPr>
                <w:szCs w:val="22"/>
              </w:rPr>
              <w:t>Feb 202</w:t>
            </w:r>
            <w:r w:rsidR="007D392A">
              <w:rPr>
                <w:szCs w:val="22"/>
              </w:rPr>
              <w:t>6</w:t>
            </w:r>
          </w:p>
        </w:tc>
      </w:tr>
    </w:tbl>
    <w:p w14:paraId="44524E76" w14:textId="77777777" w:rsidR="007C305E" w:rsidRPr="00175F32" w:rsidRDefault="007C305E" w:rsidP="007C305E"/>
    <w:p w14:paraId="2498ED8B" w14:textId="77777777" w:rsidR="007C305E" w:rsidRDefault="007C305E" w:rsidP="00632307">
      <w:pPr>
        <w:pStyle w:val="Heading1"/>
      </w:pPr>
      <w:r w:rsidRPr="00632307">
        <w:t>PURPOSE</w:t>
      </w:r>
    </w:p>
    <w:p w14:paraId="19DDBDD2" w14:textId="77777777" w:rsidR="00C47396" w:rsidRDefault="00C47396" w:rsidP="00C47396">
      <w:r>
        <w:t xml:space="preserve">This policy establishes the approach of SPCHG to </w:t>
      </w:r>
      <w:r w:rsidRPr="00C47396">
        <w:t xml:space="preserve">setting </w:t>
      </w:r>
      <w:r>
        <w:t>rent</w:t>
      </w:r>
      <w:r w:rsidR="00336C79">
        <w:t xml:space="preserve"> </w:t>
      </w:r>
      <w:r>
        <w:t>in</w:t>
      </w:r>
      <w:r w:rsidRPr="0054660A">
        <w:t xml:space="preserve"> </w:t>
      </w:r>
      <w:r>
        <w:t xml:space="preserve">its </w:t>
      </w:r>
      <w:r w:rsidRPr="0054660A">
        <w:t>long-term rental housing</w:t>
      </w:r>
      <w:r>
        <w:t xml:space="preserve"> programs.  </w:t>
      </w:r>
    </w:p>
    <w:p w14:paraId="6AC7F056" w14:textId="77777777" w:rsidR="00632307" w:rsidRDefault="00632307" w:rsidP="00632307"/>
    <w:p w14:paraId="135C0549" w14:textId="77777777" w:rsidR="007C305E" w:rsidRPr="00632307" w:rsidRDefault="007C305E" w:rsidP="00632307">
      <w:pPr>
        <w:pStyle w:val="Heading1"/>
      </w:pPr>
      <w:r w:rsidRPr="00632307">
        <w:t xml:space="preserve">SCOPE  </w:t>
      </w:r>
    </w:p>
    <w:p w14:paraId="4C4386AE" w14:textId="7D2F9B3A" w:rsidR="00632307" w:rsidRDefault="00C47396" w:rsidP="00C47396">
      <w:r>
        <w:t xml:space="preserve">This policy applies to all long-term rental properties owned or managed by SPCHG under all relevant programs. </w:t>
      </w:r>
      <w:r w:rsidR="003F4755" w:rsidRPr="003F4755">
        <w:t>This policy applies to both residential rental agreements (rental agreements) and rooming house</w:t>
      </w:r>
      <w:r w:rsidR="003F4755">
        <w:t xml:space="preserve"> </w:t>
      </w:r>
      <w:r w:rsidR="003F4755" w:rsidRPr="003F4755">
        <w:t>agreements. Unless stated otherwise, references to “renters”, “tenancies” and “rental agreements” also</w:t>
      </w:r>
      <w:r w:rsidR="003F4755">
        <w:t xml:space="preserve"> </w:t>
      </w:r>
      <w:r w:rsidR="003F4755" w:rsidRPr="003F4755">
        <w:t>applies to rooming house residents.</w:t>
      </w:r>
    </w:p>
    <w:p w14:paraId="55928DC9" w14:textId="77777777" w:rsidR="00C47396" w:rsidRPr="006B7A7C" w:rsidRDefault="00C47396" w:rsidP="00C47396">
      <w:pPr>
        <w:pStyle w:val="Heading1"/>
        <w:spacing w:before="240" w:after="120" w:line="23" w:lineRule="atLeast"/>
      </w:pPr>
      <w:r w:rsidRPr="006B7A7C">
        <w:t>PRINCIPLES</w:t>
      </w:r>
    </w:p>
    <w:p w14:paraId="72564A48" w14:textId="1A6FF1C3" w:rsidR="00631526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To clearly convey our rent setting processes with minimum information required</w:t>
      </w:r>
      <w:r w:rsidR="003A330C">
        <w:t>.</w:t>
      </w:r>
      <w:r>
        <w:t xml:space="preserve"> </w:t>
      </w:r>
    </w:p>
    <w:p w14:paraId="736CAC6E" w14:textId="52FBA183" w:rsidR="00C4739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To provide a clear and simple process for rent setting</w:t>
      </w:r>
      <w:r w:rsidR="003A330C">
        <w:t>.</w:t>
      </w:r>
      <w:r>
        <w:t xml:space="preserve"> </w:t>
      </w:r>
    </w:p>
    <w:p w14:paraId="2B1FF6F7" w14:textId="625A0C6B" w:rsidR="00C4739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To be t</w:t>
      </w:r>
      <w:r w:rsidR="00C47396" w:rsidRPr="006B7A7C">
        <w:t>ransparent</w:t>
      </w:r>
      <w:r>
        <w:t xml:space="preserve">, fair and equitable in our processes and </w:t>
      </w:r>
      <w:r w:rsidR="007D392A">
        <w:t>decision-making</w:t>
      </w:r>
      <w:r>
        <w:t xml:space="preserve"> procedures</w:t>
      </w:r>
      <w:r w:rsidR="003A330C">
        <w:t>.</w:t>
      </w:r>
    </w:p>
    <w:p w14:paraId="04523714" w14:textId="36CA9F67" w:rsidR="00C4739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SPCHG recogni</w:t>
      </w:r>
      <w:r w:rsidR="007D392A">
        <w:t>s</w:t>
      </w:r>
      <w:r>
        <w:t>es the difficulty of rising rents and aims to provide a</w:t>
      </w:r>
      <w:r w:rsidR="00C47396">
        <w:t>ffordable rent</w:t>
      </w:r>
      <w:r>
        <w:t xml:space="preserve"> to all </w:t>
      </w:r>
      <w:r w:rsidR="003A330C">
        <w:t>renter</w:t>
      </w:r>
      <w:r>
        <w:t xml:space="preserve">s to enable long term successful tenancies. </w:t>
      </w:r>
    </w:p>
    <w:p w14:paraId="6117A978" w14:textId="2B281E23" w:rsidR="0063152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SPCHG recogni</w:t>
      </w:r>
      <w:r w:rsidR="003A1DCD">
        <w:t>s</w:t>
      </w:r>
      <w:r>
        <w:t xml:space="preserve">es the important of </w:t>
      </w:r>
      <w:r w:rsidR="003A1DCD">
        <w:t>publicly</w:t>
      </w:r>
      <w:r>
        <w:t xml:space="preserve"> available documentation </w:t>
      </w:r>
      <w:r w:rsidR="003A1DCD">
        <w:t>for</w:t>
      </w:r>
      <w:r>
        <w:t xml:space="preserve"> all stakeholders to engage with our policy</w:t>
      </w:r>
      <w:r w:rsidR="003A330C">
        <w:t>.</w:t>
      </w:r>
    </w:p>
    <w:p w14:paraId="55C5A949" w14:textId="77777777" w:rsidR="00E456CA" w:rsidRDefault="00E456CA" w:rsidP="0097600A">
      <w:pPr>
        <w:pStyle w:val="Heading1"/>
      </w:pPr>
      <w:r w:rsidRPr="00175F32">
        <w:t xml:space="preserve">OBJECTIVES </w:t>
      </w:r>
    </w:p>
    <w:p w14:paraId="1AFC34C2" w14:textId="77777777" w:rsidR="00632307" w:rsidRDefault="00632307" w:rsidP="00632307"/>
    <w:p w14:paraId="5880A4C8" w14:textId="0D4CFBF2" w:rsidR="00C47396" w:rsidRDefault="00C47396" w:rsidP="00C47396">
      <w:pPr>
        <w:pStyle w:val="ListParagraph"/>
        <w:numPr>
          <w:ilvl w:val="0"/>
          <w:numId w:val="5"/>
        </w:numPr>
      </w:pPr>
      <w:r>
        <w:t xml:space="preserve">To ensure that SPCHG </w:t>
      </w:r>
      <w:r w:rsidR="003A330C">
        <w:t>renter</w:t>
      </w:r>
      <w:r>
        <w:t>s are able to afford SPCHG housing over the length of tenancy</w:t>
      </w:r>
    </w:p>
    <w:p w14:paraId="5A3E703C" w14:textId="77777777" w:rsidR="00C47396" w:rsidRDefault="00C47396" w:rsidP="00C47396">
      <w:pPr>
        <w:pStyle w:val="ListParagraph"/>
        <w:numPr>
          <w:ilvl w:val="0"/>
          <w:numId w:val="5"/>
        </w:numPr>
      </w:pPr>
      <w:r>
        <w:t>To ensure that rent is not a barrier to housing</w:t>
      </w:r>
    </w:p>
    <w:p w14:paraId="286496FF" w14:textId="77777777" w:rsidR="00C47396" w:rsidRPr="006B7A7C" w:rsidRDefault="00C47396" w:rsidP="00C47396">
      <w:pPr>
        <w:pStyle w:val="ListParagraph"/>
        <w:numPr>
          <w:ilvl w:val="0"/>
          <w:numId w:val="5"/>
        </w:numPr>
      </w:pPr>
      <w:r w:rsidRPr="006B7A7C">
        <w:t xml:space="preserve">To allow SPCHG to continue to allocate housing to those single people with the highest levels of need and least access to other housing options. </w:t>
      </w:r>
    </w:p>
    <w:p w14:paraId="36018F60" w14:textId="77777777" w:rsidR="00C47396" w:rsidRPr="006B7A7C" w:rsidRDefault="00C47396" w:rsidP="00C47396">
      <w:pPr>
        <w:pStyle w:val="ListParagraph"/>
        <w:numPr>
          <w:ilvl w:val="0"/>
          <w:numId w:val="5"/>
        </w:numPr>
      </w:pPr>
      <w:r>
        <w:t>To provide a s</w:t>
      </w:r>
      <w:r w:rsidRPr="006B7A7C">
        <w:t>imple and transparent process</w:t>
      </w:r>
    </w:p>
    <w:p w14:paraId="74E62E70" w14:textId="5D0FE7A1" w:rsidR="00C47396" w:rsidRDefault="00C47396" w:rsidP="00632307">
      <w:pPr>
        <w:pStyle w:val="ListParagraph"/>
        <w:numPr>
          <w:ilvl w:val="0"/>
          <w:numId w:val="5"/>
        </w:numPr>
      </w:pPr>
      <w:r>
        <w:t xml:space="preserve">House single people who have experienced homelessness who have a link to the </w:t>
      </w:r>
      <w:r w:rsidR="003A330C">
        <w:t>local Inner Southern metropolitan a</w:t>
      </w:r>
      <w:r>
        <w:t>rea</w:t>
      </w:r>
    </w:p>
    <w:p w14:paraId="69A6167D" w14:textId="77777777" w:rsidR="00482066" w:rsidRDefault="00482066" w:rsidP="004D5C1B">
      <w:pPr>
        <w:pStyle w:val="Heading1"/>
      </w:pPr>
      <w:r>
        <w:t>RENT SETTING</w:t>
      </w:r>
    </w:p>
    <w:p w14:paraId="23B9AE9A" w14:textId="77777777" w:rsidR="00C47396" w:rsidRDefault="00C47396" w:rsidP="00C47396">
      <w:r w:rsidRPr="00C47396">
        <w:t xml:space="preserve">SPCHG sets rent </w:t>
      </w:r>
      <w:r>
        <w:t>to fulfil its social mission and to ensure that its housing relieves households from rental stress.</w:t>
      </w:r>
    </w:p>
    <w:p w14:paraId="256C00B8" w14:textId="77777777" w:rsidR="00C47396" w:rsidRDefault="00C47396" w:rsidP="00C47396"/>
    <w:p w14:paraId="3B646437" w14:textId="77777777" w:rsidR="00C47396" w:rsidRDefault="00C47396" w:rsidP="00C47396">
      <w:r>
        <w:t>Accordingly, SPCHG will:</w:t>
      </w:r>
    </w:p>
    <w:p w14:paraId="156575DD" w14:textId="77777777" w:rsidR="00C47396" w:rsidRDefault="00C47396" w:rsidP="00C47396">
      <w:pPr>
        <w:pStyle w:val="ListParagraph"/>
        <w:numPr>
          <w:ilvl w:val="0"/>
          <w:numId w:val="7"/>
        </w:numPr>
        <w:spacing w:after="0" w:line="240" w:lineRule="auto"/>
        <w:jc w:val="left"/>
      </w:pPr>
      <w:r w:rsidRPr="005852D7">
        <w:t xml:space="preserve">set rent </w:t>
      </w:r>
      <w:r>
        <w:t>in accordance with established affordability benchmarks;</w:t>
      </w:r>
    </w:p>
    <w:p w14:paraId="706757A1" w14:textId="07CC222A" w:rsidR="00C47396" w:rsidRDefault="00C47396" w:rsidP="00C47396">
      <w:pPr>
        <w:pStyle w:val="ListParagraph"/>
        <w:numPr>
          <w:ilvl w:val="0"/>
          <w:numId w:val="7"/>
        </w:numPr>
        <w:spacing w:after="0" w:line="240" w:lineRule="auto"/>
        <w:jc w:val="left"/>
      </w:pPr>
      <w:r>
        <w:t xml:space="preserve">communicate clearly to applicants and </w:t>
      </w:r>
      <w:r w:rsidR="003A330C">
        <w:t>renter</w:t>
      </w:r>
      <w:r>
        <w:t xml:space="preserve">s as to how SPCHG </w:t>
      </w:r>
      <w:r w:rsidRPr="005852D7">
        <w:t>sets and reviews rent</w:t>
      </w:r>
      <w:r>
        <w:t xml:space="preserve"> </w:t>
      </w:r>
    </w:p>
    <w:p w14:paraId="4799AC1B" w14:textId="77777777" w:rsidR="00C47396" w:rsidRDefault="00C47396" w:rsidP="00C47396">
      <w:pPr>
        <w:pStyle w:val="ListParagraph"/>
        <w:numPr>
          <w:ilvl w:val="0"/>
          <w:numId w:val="7"/>
        </w:numPr>
        <w:spacing w:after="0" w:line="240" w:lineRule="auto"/>
        <w:jc w:val="left"/>
      </w:pPr>
      <w:r>
        <w:t>respond appropriately to changes in household circumstances to prevent undue hardship; and</w:t>
      </w:r>
    </w:p>
    <w:p w14:paraId="6D6C61F2" w14:textId="77777777" w:rsidR="00C47396" w:rsidRDefault="00C47396" w:rsidP="00C47396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>comply with its contractual, legal and regulatory obligations relating to affordability of rent.</w:t>
      </w:r>
    </w:p>
    <w:p w14:paraId="71F66E75" w14:textId="77777777" w:rsidR="00C47396" w:rsidRDefault="00C47396" w:rsidP="00482066"/>
    <w:p w14:paraId="15F86DED" w14:textId="77777777" w:rsidR="00C47396" w:rsidRDefault="00C47396" w:rsidP="00482066"/>
    <w:p w14:paraId="769DD477" w14:textId="77777777" w:rsidR="00965F8C" w:rsidRDefault="00336C79" w:rsidP="004D5C1B">
      <w:pPr>
        <w:pStyle w:val="Heading2"/>
      </w:pPr>
      <w:r>
        <w:rPr>
          <w:caps w:val="0"/>
        </w:rPr>
        <w:t>APPROACHES TO RENT &amp; UTILITY SETTING</w:t>
      </w:r>
    </w:p>
    <w:p w14:paraId="1FECE25A" w14:textId="77777777" w:rsidR="004D5C1B" w:rsidRDefault="004D5C1B" w:rsidP="004D5C1B"/>
    <w:p w14:paraId="5DB459C1" w14:textId="77777777" w:rsidR="004D5C1B" w:rsidRDefault="004D5C1B" w:rsidP="004D5C1B">
      <w:r>
        <w:t xml:space="preserve">SPCHG sets rent </w:t>
      </w:r>
      <w:r w:rsidR="00AF321C">
        <w:t xml:space="preserve">&amp; utility charges </w:t>
      </w:r>
      <w:r>
        <w:t>as follows:</w:t>
      </w:r>
    </w:p>
    <w:p w14:paraId="6AE430C1" w14:textId="77777777" w:rsidR="004D5C1B" w:rsidRDefault="004D5C1B" w:rsidP="004D5C1B"/>
    <w:p w14:paraId="4F2F4EAE" w14:textId="77777777" w:rsidR="004D5C1B" w:rsidRDefault="004D5C1B" w:rsidP="004D5C1B">
      <w:r>
        <w:t>The lower of:</w:t>
      </w:r>
    </w:p>
    <w:p w14:paraId="64EA38B5" w14:textId="77777777" w:rsidR="004D5C1B" w:rsidRDefault="00AF321C" w:rsidP="004D5C1B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>Household income based r</w:t>
      </w:r>
      <w:r w:rsidR="004D5C1B">
        <w:t>ent;</w:t>
      </w:r>
    </w:p>
    <w:p w14:paraId="088E6D3F" w14:textId="77777777" w:rsidR="00AF321C" w:rsidRDefault="00AF321C" w:rsidP="004D5C1B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>Family Benefits Household Income based rent</w:t>
      </w:r>
    </w:p>
    <w:p w14:paraId="5B01B62B" w14:textId="77777777" w:rsidR="004D5C1B" w:rsidRDefault="0087791D" w:rsidP="004D5C1B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>Maximum Rent</w:t>
      </w:r>
    </w:p>
    <w:p w14:paraId="6BB676DF" w14:textId="77777777" w:rsidR="0087791D" w:rsidRDefault="0087791D" w:rsidP="0087791D"/>
    <w:p w14:paraId="51FB2E64" w14:textId="473E0B8B" w:rsidR="0087791D" w:rsidRDefault="0087791D" w:rsidP="0087791D">
      <w:r w:rsidRPr="007D6AC6">
        <w:t>Gross Household Income is</w:t>
      </w:r>
      <w:r>
        <w:t xml:space="preserve"> determined in accordance with </w:t>
      </w:r>
      <w:r w:rsidRPr="004D5C1B">
        <w:t>the</w:t>
      </w:r>
      <w:r>
        <w:t xml:space="preserve"> </w:t>
      </w:r>
      <w:r w:rsidR="003A330C">
        <w:t>Department of Families, Fairness and Housing</w:t>
      </w:r>
      <w:r w:rsidRPr="00F1252E">
        <w:t xml:space="preserve"> </w:t>
      </w:r>
      <w:r w:rsidR="003A330C">
        <w:t xml:space="preserve">(DFFH) </w:t>
      </w:r>
      <w:r w:rsidRPr="00F1252E">
        <w:t>Income Assessment Guidelines.</w:t>
      </w:r>
      <w:r>
        <w:t xml:space="preserve"> </w:t>
      </w:r>
    </w:p>
    <w:p w14:paraId="2C2F8307" w14:textId="77777777" w:rsidR="004D5C1B" w:rsidRDefault="004D5C1B" w:rsidP="004D5C1B"/>
    <w:p w14:paraId="35C26F12" w14:textId="77777777" w:rsidR="004D5C1B" w:rsidRPr="005852D7" w:rsidRDefault="004D5C1B" w:rsidP="00336C79">
      <w:r w:rsidRPr="005852D7">
        <w:t>Housing-income based rent</w:t>
      </w:r>
      <w:r w:rsidR="0087791D" w:rsidRPr="005852D7">
        <w:t xml:space="preserve"> </w:t>
      </w:r>
      <w:r w:rsidRPr="005852D7">
        <w:t>is determined as:</w:t>
      </w:r>
    </w:p>
    <w:p w14:paraId="7F2BE2F9" w14:textId="77777777" w:rsidR="004D5C1B" w:rsidRPr="005852D7" w:rsidRDefault="00965F8C" w:rsidP="00482066">
      <w:pPr>
        <w:pStyle w:val="ListParagraph"/>
        <w:numPr>
          <w:ilvl w:val="0"/>
          <w:numId w:val="8"/>
        </w:numPr>
      </w:pPr>
      <w:r w:rsidRPr="005852D7">
        <w:t>25% of</w:t>
      </w:r>
      <w:r w:rsidR="004D5C1B" w:rsidRPr="005852D7">
        <w:t xml:space="preserve"> Gross Household</w:t>
      </w:r>
      <w:r w:rsidRPr="005852D7">
        <w:t xml:space="preserve"> Income</w:t>
      </w:r>
      <w:r w:rsidR="004D5C1B" w:rsidRPr="005852D7">
        <w:t xml:space="preserve"> plus</w:t>
      </w:r>
    </w:p>
    <w:p w14:paraId="51AF57B4" w14:textId="77777777" w:rsidR="004D5C1B" w:rsidRPr="005852D7" w:rsidRDefault="004D5C1B" w:rsidP="00482066">
      <w:pPr>
        <w:pStyle w:val="ListParagraph"/>
        <w:numPr>
          <w:ilvl w:val="0"/>
          <w:numId w:val="8"/>
        </w:numPr>
      </w:pPr>
      <w:r w:rsidRPr="005852D7">
        <w:t xml:space="preserve">Maximum </w:t>
      </w:r>
      <w:r w:rsidR="00965F8C" w:rsidRPr="005852D7">
        <w:t xml:space="preserve">Commonwealth Rent Assistance </w:t>
      </w:r>
      <w:r w:rsidRPr="005852D7">
        <w:t>plus</w:t>
      </w:r>
    </w:p>
    <w:p w14:paraId="4EC467EF" w14:textId="77777777" w:rsidR="00965F8C" w:rsidRPr="005852D7" w:rsidRDefault="00F1252E" w:rsidP="00482066">
      <w:pPr>
        <w:pStyle w:val="ListParagraph"/>
        <w:numPr>
          <w:ilvl w:val="0"/>
          <w:numId w:val="8"/>
        </w:numPr>
      </w:pPr>
      <w:r w:rsidRPr="005852D7">
        <w:t xml:space="preserve">Cost of additional services (See below) </w:t>
      </w:r>
    </w:p>
    <w:p w14:paraId="5FD429F8" w14:textId="77777777" w:rsidR="00AF321C" w:rsidRDefault="00AF321C" w:rsidP="00336C79">
      <w:r>
        <w:t>Family Benefits Household Income based rent</w:t>
      </w:r>
    </w:p>
    <w:p w14:paraId="695AE961" w14:textId="77777777" w:rsidR="00AF321C" w:rsidRDefault="00AF321C" w:rsidP="00AF321C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5303A8">
        <w:t xml:space="preserve">30% of Gross Household Income plus </w:t>
      </w:r>
    </w:p>
    <w:p w14:paraId="5FB829B8" w14:textId="77777777" w:rsidR="00AF321C" w:rsidRDefault="00AF321C" w:rsidP="00AF321C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5303A8">
        <w:t xml:space="preserve">15% Family Payments plus </w:t>
      </w:r>
    </w:p>
    <w:p w14:paraId="37255EDF" w14:textId="77777777" w:rsidR="00AF321C" w:rsidRDefault="00AF321C" w:rsidP="0087791D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5303A8">
        <w:t>Maximum CRA</w:t>
      </w:r>
    </w:p>
    <w:p w14:paraId="2FB5617C" w14:textId="77777777" w:rsidR="0087791D" w:rsidRDefault="0087791D" w:rsidP="00AF321C"/>
    <w:p w14:paraId="5C69AF08" w14:textId="77777777" w:rsidR="004D5C1B" w:rsidRDefault="0087791D" w:rsidP="00336C79">
      <w:r>
        <w:t>Maximum ren</w:t>
      </w:r>
      <w:r w:rsidR="004D5C1B">
        <w:t>t</w:t>
      </w:r>
      <w:r>
        <w:t xml:space="preserve"> is determined as:</w:t>
      </w:r>
    </w:p>
    <w:p w14:paraId="5D6CAFB4" w14:textId="0167046F" w:rsidR="0087791D" w:rsidRPr="0087791D" w:rsidRDefault="0087791D" w:rsidP="0087791D">
      <w:pPr>
        <w:pStyle w:val="ListParagraph"/>
        <w:numPr>
          <w:ilvl w:val="0"/>
          <w:numId w:val="10"/>
        </w:numPr>
      </w:pPr>
      <w:r w:rsidRPr="0087791D">
        <w:t xml:space="preserve">75% of the Property Rent for </w:t>
      </w:r>
      <w:r w:rsidR="00A6230C">
        <w:t>renter</w:t>
      </w:r>
      <w:r w:rsidRPr="0087791D">
        <w:t>s in General Lease Prosperities, determined by the D</w:t>
      </w:r>
      <w:r w:rsidR="003A330C">
        <w:t>FFH</w:t>
      </w:r>
    </w:p>
    <w:p w14:paraId="2D9D7883" w14:textId="77777777" w:rsidR="0087791D" w:rsidRPr="0087791D" w:rsidRDefault="0087791D" w:rsidP="00C44B69">
      <w:pPr>
        <w:pStyle w:val="ListParagraph"/>
        <w:numPr>
          <w:ilvl w:val="0"/>
          <w:numId w:val="11"/>
        </w:numPr>
        <w:spacing w:after="0" w:line="240" w:lineRule="auto"/>
        <w:jc w:val="left"/>
      </w:pPr>
      <w:r w:rsidRPr="0087791D">
        <w:t>75% of the ATO Benchmark Rent for</w:t>
      </w:r>
      <w:r>
        <w:t xml:space="preserve"> SPCHG owned properties </w:t>
      </w:r>
    </w:p>
    <w:p w14:paraId="0D25178E" w14:textId="77777777" w:rsidR="00482066" w:rsidRDefault="00482066" w:rsidP="00482066"/>
    <w:p w14:paraId="63054D85" w14:textId="77777777" w:rsidR="0087791D" w:rsidRDefault="00EA7AAC" w:rsidP="00EA7AAC">
      <w:pPr>
        <w:pStyle w:val="Heading3"/>
      </w:pPr>
      <w:r>
        <w:t>Provision of information about household income</w:t>
      </w:r>
    </w:p>
    <w:p w14:paraId="5D7BC43A" w14:textId="51F434F1" w:rsidR="0087791D" w:rsidRDefault="003A330C" w:rsidP="0087791D">
      <w:r>
        <w:t>Renter</w:t>
      </w:r>
      <w:r w:rsidR="0087791D">
        <w:t xml:space="preserve">s and applicants are obliged to provide to </w:t>
      </w:r>
      <w:r w:rsidR="00BB48C1">
        <w:t>SPCHG reasonable</w:t>
      </w:r>
      <w:r w:rsidR="0087791D">
        <w:t xml:space="preserve"> evidence that establishes their total household income when requested by SPCHG:</w:t>
      </w:r>
    </w:p>
    <w:p w14:paraId="7023C7E6" w14:textId="77777777" w:rsidR="0087791D" w:rsidRDefault="0087791D" w:rsidP="0087791D">
      <w:pPr>
        <w:pStyle w:val="ListParagraph"/>
        <w:numPr>
          <w:ilvl w:val="0"/>
          <w:numId w:val="12"/>
        </w:numPr>
        <w:spacing w:after="0" w:line="240" w:lineRule="auto"/>
        <w:jc w:val="left"/>
      </w:pPr>
      <w:r>
        <w:t xml:space="preserve">before being offered a tenancy with SPCHG; and </w:t>
      </w:r>
    </w:p>
    <w:p w14:paraId="27B8B2CD" w14:textId="77777777" w:rsidR="0087791D" w:rsidRDefault="0087791D" w:rsidP="0087791D">
      <w:pPr>
        <w:pStyle w:val="ListParagraph"/>
        <w:numPr>
          <w:ilvl w:val="0"/>
          <w:numId w:val="12"/>
        </w:numPr>
        <w:spacing w:after="0" w:line="240" w:lineRule="auto"/>
        <w:jc w:val="left"/>
      </w:pPr>
      <w:r>
        <w:t xml:space="preserve">when SPCHG carries out a rent review / determines rental subsidies.  </w:t>
      </w:r>
    </w:p>
    <w:p w14:paraId="73B019D8" w14:textId="77777777" w:rsidR="0087791D" w:rsidRDefault="0087791D" w:rsidP="0087791D"/>
    <w:p w14:paraId="45DC5639" w14:textId="597C645D" w:rsidR="0087791D" w:rsidRDefault="0087791D" w:rsidP="0087791D">
      <w:r>
        <w:t xml:space="preserve">SPCHG may </w:t>
      </w:r>
      <w:r w:rsidRPr="0087791D">
        <w:t xml:space="preserve">increase rent to Maximum Rent if the </w:t>
      </w:r>
      <w:r w:rsidR="003A330C">
        <w:t>ren</w:t>
      </w:r>
      <w:r w:rsidRPr="0087791D">
        <w:t>t</w:t>
      </w:r>
      <w:r w:rsidR="003A330C">
        <w:t>er</w:t>
      </w:r>
      <w:r w:rsidRPr="0087791D">
        <w:t xml:space="preserve"> does not provide the information within the timeframe required.</w:t>
      </w:r>
      <w:r>
        <w:t xml:space="preserve">  </w:t>
      </w:r>
    </w:p>
    <w:p w14:paraId="30E4B222" w14:textId="77777777" w:rsidR="0087791D" w:rsidRDefault="0087791D" w:rsidP="0087791D"/>
    <w:p w14:paraId="50928BA1" w14:textId="745E82B0" w:rsidR="0087791D" w:rsidRPr="00BB48C1" w:rsidRDefault="0087791D" w:rsidP="0087791D">
      <w:r w:rsidRPr="0087791D">
        <w:t xml:space="preserve">If a </w:t>
      </w:r>
      <w:r w:rsidR="003A330C">
        <w:t>renter</w:t>
      </w:r>
      <w:r w:rsidRPr="0087791D">
        <w:t xml:space="preserve"> subsequently provides information about household information after a rent / rental subsidy review, changes will only take effect on and from the date the </w:t>
      </w:r>
      <w:r w:rsidR="003A330C">
        <w:t>renter</w:t>
      </w:r>
      <w:r w:rsidRPr="0087791D">
        <w:t xml:space="preserve"> contacted SPCHG and provided </w:t>
      </w:r>
      <w:r w:rsidRPr="00BB48C1">
        <w:t>reasonable details of the household income.  SPCHG may agree to back-date changes in rent in circumstances where SPCHG determines that the hardship provision of this policy applies.</w:t>
      </w:r>
    </w:p>
    <w:p w14:paraId="2103920E" w14:textId="77777777" w:rsidR="00EA7AAC" w:rsidRPr="00BB48C1" w:rsidRDefault="00EA7AAC" w:rsidP="0087791D"/>
    <w:p w14:paraId="2106F283" w14:textId="77777777" w:rsidR="00EA7AAC" w:rsidRPr="00BB48C1" w:rsidRDefault="00EA7AAC" w:rsidP="00EA7AAC">
      <w:pPr>
        <w:pStyle w:val="Heading3"/>
      </w:pPr>
      <w:r w:rsidRPr="00BB48C1">
        <w:t>Determining the approaches to affordable rent</w:t>
      </w:r>
    </w:p>
    <w:p w14:paraId="229253BF" w14:textId="77777777" w:rsidR="00EA7AAC" w:rsidRPr="00BB48C1" w:rsidRDefault="00EA7AAC" w:rsidP="00EA7AAC"/>
    <w:p w14:paraId="62A39D27" w14:textId="77777777" w:rsidR="00EA7AAC" w:rsidRDefault="00EA7AAC" w:rsidP="00EA7AAC">
      <w:r w:rsidRPr="00BB48C1">
        <w:t>SPCHG will determine the approach to rent that applies to the property or tenancy prior to an offer of a tenancy being made.</w:t>
      </w:r>
      <w:r>
        <w:t xml:space="preserve"> </w:t>
      </w:r>
    </w:p>
    <w:p w14:paraId="39D0C80C" w14:textId="77777777" w:rsidR="00EA7AAC" w:rsidRDefault="00EA7AAC" w:rsidP="00EA7AAC"/>
    <w:p w14:paraId="199736E6" w14:textId="77777777" w:rsidR="00EA7AAC" w:rsidRDefault="00EA7AAC" w:rsidP="00EA7AAC">
      <w:r>
        <w:t>In determining the approach that applies to a property or tenancy,</w:t>
      </w:r>
      <w:r w:rsidR="00BB48C1">
        <w:t xml:space="preserve"> </w:t>
      </w:r>
      <w:r>
        <w:t>SPCHG will comply with legal and contractual obligations that may apply to a particular property.</w:t>
      </w:r>
    </w:p>
    <w:p w14:paraId="5921D46B" w14:textId="77777777" w:rsidR="00EA7AAC" w:rsidRDefault="00EA7AAC" w:rsidP="00EA7AAC"/>
    <w:p w14:paraId="01DEF5ED" w14:textId="77777777" w:rsidR="00EA7AAC" w:rsidRDefault="00EA7AAC" w:rsidP="00EA7AAC">
      <w:r>
        <w:lastRenderedPageBreak/>
        <w:t>SPCHG will not offer a tenancy to an applicant for housing unless it is satisfied that the approach to the affordability of rent is appropriate and sustainable for that household.</w:t>
      </w:r>
    </w:p>
    <w:p w14:paraId="618D2B89" w14:textId="77777777" w:rsidR="00EA7AAC" w:rsidRDefault="00EA7AAC" w:rsidP="0087791D"/>
    <w:p w14:paraId="7FCC0793" w14:textId="77777777" w:rsidR="00EA7AAC" w:rsidRDefault="00EA7AAC" w:rsidP="00EA7AAC">
      <w:pPr>
        <w:pStyle w:val="Heading3"/>
      </w:pPr>
      <w:r>
        <w:t xml:space="preserve">Reviews of calculation of rent / rent </w:t>
      </w:r>
    </w:p>
    <w:p w14:paraId="514B9D52" w14:textId="77777777" w:rsidR="0087791D" w:rsidRDefault="0087791D" w:rsidP="0087791D"/>
    <w:p w14:paraId="451ED168" w14:textId="4FDC94A8" w:rsidR="00EA7AAC" w:rsidRDefault="00EA7AAC" w:rsidP="00EA7AAC">
      <w:r w:rsidRPr="00BB48C1">
        <w:t xml:space="preserve">SPCHG will provide </w:t>
      </w:r>
      <w:r w:rsidR="003E4473">
        <w:t>renter</w:t>
      </w:r>
      <w:r w:rsidRPr="00BB48C1">
        <w:t>s with a clear and transparent explanation as to how their rent has been calculated.</w:t>
      </w:r>
      <w:r w:rsidR="00D0627B">
        <w:t xml:space="preserve"> </w:t>
      </w:r>
      <w:r w:rsidRPr="00BB48C1">
        <w:t xml:space="preserve">All </w:t>
      </w:r>
      <w:r w:rsidR="003E4473">
        <w:t>renter</w:t>
      </w:r>
      <w:r w:rsidRPr="00BB48C1">
        <w:t>s have the right to ask SPCHG to review the way that SPCHG has determined their rent and to provide a further explanation.</w:t>
      </w:r>
    </w:p>
    <w:p w14:paraId="4A544A7D" w14:textId="77777777" w:rsidR="00EA7AAC" w:rsidRDefault="00EA7AAC" w:rsidP="0087791D"/>
    <w:p w14:paraId="1EBA70BC" w14:textId="77777777" w:rsidR="00EA7AAC" w:rsidRPr="003B726E" w:rsidRDefault="00EA7AAC" w:rsidP="00EA7AAC">
      <w:pPr>
        <w:pStyle w:val="Heading3"/>
      </w:pPr>
      <w:r w:rsidRPr="003B726E">
        <w:t>Response to changes in household circumstances</w:t>
      </w:r>
    </w:p>
    <w:p w14:paraId="71838F2C" w14:textId="77777777" w:rsidR="00EA7AAC" w:rsidRDefault="00EA7AAC" w:rsidP="00EA7AAC"/>
    <w:p w14:paraId="5F1871A2" w14:textId="73D7CE13" w:rsidR="00EA7AAC" w:rsidRDefault="00EA7AAC" w:rsidP="00EA7AAC">
      <w:r>
        <w:t xml:space="preserve">If a </w:t>
      </w:r>
      <w:r w:rsidR="003E4473">
        <w:t>renter</w:t>
      </w:r>
      <w:r>
        <w:t xml:space="preserve"> contacts SPCHG and is facing hardship with paying rent, SPCHG may determine:</w:t>
      </w:r>
    </w:p>
    <w:p w14:paraId="47CC4E5C" w14:textId="22541268" w:rsidR="00EA7AAC" w:rsidRPr="00BB48C1" w:rsidRDefault="00EA7AAC" w:rsidP="00EA7AAC">
      <w:pPr>
        <w:pStyle w:val="ListParagraph"/>
        <w:numPr>
          <w:ilvl w:val="0"/>
          <w:numId w:val="14"/>
        </w:numPr>
        <w:spacing w:after="0" w:line="240" w:lineRule="auto"/>
        <w:jc w:val="left"/>
      </w:pPr>
      <w:r>
        <w:t xml:space="preserve">to re-assess the </w:t>
      </w:r>
      <w:r w:rsidR="003E4473">
        <w:t>renter</w:t>
      </w:r>
      <w:r w:rsidRPr="00BB48C1">
        <w:t>’s rent based on this policy;</w:t>
      </w:r>
    </w:p>
    <w:p w14:paraId="03E6F897" w14:textId="77777777" w:rsidR="00EA7AAC" w:rsidRPr="00BB48C1" w:rsidRDefault="00EA7AAC" w:rsidP="00EA7AAC">
      <w:pPr>
        <w:pStyle w:val="ListParagraph"/>
        <w:numPr>
          <w:ilvl w:val="0"/>
          <w:numId w:val="14"/>
        </w:numPr>
        <w:spacing w:after="0" w:line="240" w:lineRule="auto"/>
        <w:jc w:val="left"/>
      </w:pPr>
      <w:r w:rsidRPr="00BB48C1">
        <w:t>to determine that a different approach to rent should apply to that tenancy; or</w:t>
      </w:r>
    </w:p>
    <w:p w14:paraId="4EDB722D" w14:textId="4C54430C" w:rsidR="00EA7AAC" w:rsidRPr="00BB48C1" w:rsidRDefault="00EA7AAC" w:rsidP="00EA7AAC">
      <w:pPr>
        <w:pStyle w:val="ListParagraph"/>
        <w:numPr>
          <w:ilvl w:val="0"/>
          <w:numId w:val="14"/>
        </w:numPr>
        <w:spacing w:after="0" w:line="240" w:lineRule="auto"/>
        <w:jc w:val="left"/>
      </w:pPr>
      <w:r w:rsidRPr="00BB48C1">
        <w:t xml:space="preserve">to consider a payment plan that the </w:t>
      </w:r>
      <w:r w:rsidR="003E4473">
        <w:t>renter</w:t>
      </w:r>
      <w:r w:rsidRPr="00BB48C1">
        <w:t xml:space="preserve"> can manage</w:t>
      </w:r>
    </w:p>
    <w:p w14:paraId="53B80076" w14:textId="77777777" w:rsidR="00EA7AAC" w:rsidRDefault="00EA7AAC" w:rsidP="00EA7AAC"/>
    <w:p w14:paraId="54F6A015" w14:textId="14717C71" w:rsidR="00EA7AAC" w:rsidRDefault="00EA7AAC" w:rsidP="00EA7AAC">
      <w:r>
        <w:t xml:space="preserve">Generally, such changes will only take effect on and from the date the </w:t>
      </w:r>
      <w:r w:rsidR="003E4473">
        <w:t>renter</w:t>
      </w:r>
      <w:r>
        <w:t xml:space="preserve"> contacted SPCHG and provided reasonable details of the change in the household circumstances.  SPCHG may agree to back-date changes in rent payable in circumstances where SPCHG determines that the </w:t>
      </w:r>
      <w:r w:rsidR="003E4473">
        <w:t>renter</w:t>
      </w:r>
      <w:r>
        <w:t xml:space="preserve"> ought to be granted relief from hardship.</w:t>
      </w:r>
    </w:p>
    <w:p w14:paraId="14683114" w14:textId="77777777" w:rsidR="00EA7AAC" w:rsidRDefault="00EA7AAC" w:rsidP="00EA7AAC"/>
    <w:p w14:paraId="7C2F91DF" w14:textId="77777777" w:rsidR="00EA7AAC" w:rsidRDefault="00EA7AAC" w:rsidP="00EA7AAC">
      <w:r>
        <w:t>SPCHG determines hardship by looking at the overall circumstances of the household, including:</w:t>
      </w:r>
    </w:p>
    <w:p w14:paraId="47FC0E66" w14:textId="487B942D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any unforeseen change to household composition beyond the control of the </w:t>
      </w:r>
      <w:r w:rsidR="003E4473">
        <w:t>renter</w:t>
      </w:r>
      <w:r>
        <w:t>;</w:t>
      </w:r>
    </w:p>
    <w:p w14:paraId="2BC13898" w14:textId="6285AE45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any material change in the health (physical or mental) of the </w:t>
      </w:r>
      <w:r w:rsidR="003E4473">
        <w:t>renter</w:t>
      </w:r>
      <w:r>
        <w:t xml:space="preserve"> or members of their household;</w:t>
      </w:r>
    </w:p>
    <w:p w14:paraId="2EA4FB62" w14:textId="2D4D18A8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any disability of the </w:t>
      </w:r>
      <w:r w:rsidR="003E4473">
        <w:t>renter</w:t>
      </w:r>
      <w:r>
        <w:t xml:space="preserve"> or members of their household;</w:t>
      </w:r>
    </w:p>
    <w:p w14:paraId="0A4CA21E" w14:textId="0CA6CC3A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the impact of family violence on the </w:t>
      </w:r>
      <w:r w:rsidR="003E4473">
        <w:t>renter</w:t>
      </w:r>
      <w:r>
        <w:t xml:space="preserve"> or members of the household; and</w:t>
      </w:r>
    </w:p>
    <w:p w14:paraId="0394872F" w14:textId="162D9FF3" w:rsidR="0087791D" w:rsidRDefault="00EA7AAC" w:rsidP="00F641AB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>cultural considerations, including Aboriginal cultural considerations.</w:t>
      </w:r>
    </w:p>
    <w:p w14:paraId="7412C161" w14:textId="77777777" w:rsidR="00EA7AAC" w:rsidRPr="00EA7AAC" w:rsidRDefault="00EA7AAC" w:rsidP="00EA7AAC"/>
    <w:p w14:paraId="0E91A5FF" w14:textId="77777777" w:rsidR="00F1252E" w:rsidRPr="00F1252E" w:rsidRDefault="00F1252E" w:rsidP="00F1252E">
      <w:pPr>
        <w:pStyle w:val="Heading3"/>
        <w:rPr>
          <w:rFonts w:asciiTheme="minorHAnsi" w:hAnsiTheme="minorHAnsi"/>
        </w:rPr>
      </w:pPr>
      <w:r w:rsidRPr="00F1252E">
        <w:t xml:space="preserve">COST OF ADDITIONAL SERVICES </w:t>
      </w:r>
    </w:p>
    <w:p w14:paraId="0499CF94" w14:textId="6F5DECF7" w:rsidR="00482066" w:rsidRPr="00F1252E" w:rsidRDefault="00F1252E" w:rsidP="00F1252E">
      <w:pPr>
        <w:pStyle w:val="Heading3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82066" w:rsidRPr="00F1252E">
        <w:rPr>
          <w:rFonts w:asciiTheme="minorHAnsi" w:hAnsiTheme="minorHAnsi"/>
        </w:rPr>
        <w:t xml:space="preserve">ent </w:t>
      </w:r>
      <w:r>
        <w:rPr>
          <w:rFonts w:asciiTheme="minorHAnsi" w:hAnsiTheme="minorHAnsi"/>
        </w:rPr>
        <w:t xml:space="preserve">is inclusive of </w:t>
      </w:r>
      <w:r w:rsidR="00482066" w:rsidRPr="00F1252E">
        <w:rPr>
          <w:rFonts w:asciiTheme="minorHAnsi" w:hAnsiTheme="minorHAnsi"/>
        </w:rPr>
        <w:t xml:space="preserve">amount paid by a resident to occupy a room </w:t>
      </w:r>
      <w:r w:rsidR="006E7367">
        <w:rPr>
          <w:rFonts w:asciiTheme="minorHAnsi" w:hAnsiTheme="minorHAnsi"/>
          <w:b/>
        </w:rPr>
        <w:t xml:space="preserve">including </w:t>
      </w:r>
      <w:r w:rsidR="00EA7AAC" w:rsidRPr="00F1252E">
        <w:rPr>
          <w:rFonts w:asciiTheme="minorHAnsi" w:hAnsiTheme="minorHAnsi"/>
        </w:rPr>
        <w:t xml:space="preserve">of </w:t>
      </w:r>
      <w:r w:rsidR="00482066" w:rsidRPr="00F1252E">
        <w:rPr>
          <w:rFonts w:asciiTheme="minorHAnsi" w:hAnsiTheme="minorHAnsi"/>
        </w:rPr>
        <w:t>services and utilities.</w:t>
      </w:r>
    </w:p>
    <w:p w14:paraId="1BBD0D20" w14:textId="77777777" w:rsidR="00F1252E" w:rsidRPr="00F1252E" w:rsidRDefault="00F1252E" w:rsidP="00482066">
      <w:pPr>
        <w:pStyle w:val="BodyText"/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This includes:</w:t>
      </w:r>
    </w:p>
    <w:p w14:paraId="3EAD4C7B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Gas</w:t>
      </w:r>
    </w:p>
    <w:p w14:paraId="195BEBF1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Water</w:t>
      </w:r>
    </w:p>
    <w:p w14:paraId="76774D8C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Electricity</w:t>
      </w:r>
    </w:p>
    <w:p w14:paraId="59E6DB42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Laundry Facilities</w:t>
      </w:r>
    </w:p>
    <w:p w14:paraId="0876664B" w14:textId="57F9F0E1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 xml:space="preserve">Furniture provided to </w:t>
      </w:r>
      <w:r w:rsidR="00A6230C">
        <w:rPr>
          <w:rFonts w:asciiTheme="minorHAnsi" w:hAnsiTheme="minorHAnsi"/>
        </w:rPr>
        <w:t>renter</w:t>
      </w:r>
      <w:r w:rsidRPr="00F1252E">
        <w:rPr>
          <w:rFonts w:asciiTheme="minorHAnsi" w:hAnsiTheme="minorHAnsi"/>
        </w:rPr>
        <w:t>s, including a fridge</w:t>
      </w:r>
    </w:p>
    <w:p w14:paraId="413F13A1" w14:textId="77777777" w:rsidR="00F1252E" w:rsidRDefault="00F1252E" w:rsidP="00F1252E">
      <w:pPr>
        <w:pStyle w:val="Heading3"/>
        <w:numPr>
          <w:ilvl w:val="0"/>
          <w:numId w:val="0"/>
        </w:numPr>
      </w:pPr>
    </w:p>
    <w:p w14:paraId="2BE0CCCC" w14:textId="63D0F627" w:rsidR="00F1252E" w:rsidRDefault="00F1252E" w:rsidP="00F1252E">
      <w:pPr>
        <w:pStyle w:val="Heading3"/>
        <w:numPr>
          <w:ilvl w:val="0"/>
          <w:numId w:val="0"/>
        </w:numPr>
      </w:pPr>
      <w:r w:rsidRPr="00AF16DA">
        <w:t xml:space="preserve">This rent component applies to all tenancies managed that are not separately metered, and will be calculated by dividing the budgeted actual cost of providing services by the number of </w:t>
      </w:r>
      <w:r w:rsidR="003E4473">
        <w:t>renters.</w:t>
      </w:r>
      <w:r w:rsidRPr="00AF16DA">
        <w:t xml:space="preserve"> </w:t>
      </w:r>
    </w:p>
    <w:p w14:paraId="6A1D889F" w14:textId="77777777" w:rsidR="00482066" w:rsidRDefault="00482066" w:rsidP="00482066"/>
    <w:p w14:paraId="0A0F25CA" w14:textId="77777777" w:rsidR="00DE4DFE" w:rsidRDefault="00DE4DFE" w:rsidP="00DE4DFE">
      <w:pPr>
        <w:pStyle w:val="Heading1"/>
      </w:pPr>
      <w:r>
        <w:t>RENT REVIEW &amp; Increases</w:t>
      </w:r>
    </w:p>
    <w:p w14:paraId="02296AB0" w14:textId="77777777" w:rsidR="00DE4DFE" w:rsidRDefault="00DE4DFE" w:rsidP="00DE4DFE"/>
    <w:p w14:paraId="09EE8D2D" w14:textId="07F7EDA6" w:rsidR="00DE4DFE" w:rsidRDefault="00DE4DFE" w:rsidP="00DE4DFE">
      <w:r>
        <w:t>Rents are</w:t>
      </w:r>
      <w:r w:rsidRPr="00DD194D">
        <w:t xml:space="preserve"> reviewed by the </w:t>
      </w:r>
      <w:r w:rsidR="003E4473">
        <w:t>Board</w:t>
      </w:r>
      <w:r w:rsidRPr="00DD194D">
        <w:t xml:space="preserve"> in April/May every year in conjunction with the annual budget and the Business Plan. Any agreed increase to take effect </w:t>
      </w:r>
      <w:r w:rsidR="003E4473">
        <w:t xml:space="preserve">around July </w:t>
      </w:r>
      <w:r w:rsidRPr="00DD194D">
        <w:t>of the sa</w:t>
      </w:r>
      <w:r>
        <w:t>me year. Recommendations are</w:t>
      </w:r>
      <w:r w:rsidRPr="00DD194D">
        <w:t xml:space="preserve"> prepared by the CEO</w:t>
      </w:r>
      <w:r w:rsidR="003E4473">
        <w:t>, Manager Corporate Services,</w:t>
      </w:r>
      <w:r w:rsidRPr="00DD194D">
        <w:t xml:space="preserve"> and Finance </w:t>
      </w:r>
      <w:r w:rsidR="003E4473">
        <w:t>Manager</w:t>
      </w:r>
      <w:r w:rsidRPr="00DD194D">
        <w:t xml:space="preserve"> in conjunction with the Finance</w:t>
      </w:r>
      <w:r w:rsidR="003E4473">
        <w:t xml:space="preserve">, Audit &amp; Risk </w:t>
      </w:r>
      <w:r w:rsidRPr="00DD194D">
        <w:t xml:space="preserve">Committee. </w:t>
      </w:r>
    </w:p>
    <w:p w14:paraId="1FAAA369" w14:textId="77777777" w:rsidR="00DE4DFE" w:rsidRPr="00DD194D" w:rsidRDefault="00DE4DFE" w:rsidP="00DE4DFE"/>
    <w:p w14:paraId="704BB61E" w14:textId="1C6A6A4F" w:rsidR="00DE4DFE" w:rsidRPr="00FD1D48" w:rsidRDefault="00DE4DFE" w:rsidP="00DE4DFE">
      <w:r w:rsidRPr="00DD194D">
        <w:t xml:space="preserve">Rent levels will not be adjusted unless by resolution of the </w:t>
      </w:r>
      <w:r w:rsidR="003E4473">
        <w:t>Board</w:t>
      </w:r>
      <w:r w:rsidRPr="00DD194D">
        <w:t>.</w:t>
      </w:r>
    </w:p>
    <w:p w14:paraId="23969CB1" w14:textId="77777777" w:rsidR="00DE4DFE" w:rsidRPr="00482066" w:rsidRDefault="00DE4DFE" w:rsidP="00DE4DFE"/>
    <w:p w14:paraId="6405F0DD" w14:textId="77777777" w:rsidR="00DE4DFE" w:rsidRPr="00DD194D" w:rsidRDefault="00DE4DFE" w:rsidP="00DE4DFE">
      <w:r w:rsidRPr="00DD194D">
        <w:t>Decisions about rent levels will be based on the following factors:</w:t>
      </w:r>
    </w:p>
    <w:p w14:paraId="52F641D3" w14:textId="3C83EBCF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 xml:space="preserve">Limits on rents set by </w:t>
      </w:r>
      <w:r>
        <w:rPr>
          <w:lang w:val="en-AU"/>
        </w:rPr>
        <w:t>D</w:t>
      </w:r>
      <w:r w:rsidR="003E4473">
        <w:rPr>
          <w:lang w:val="en-AU"/>
        </w:rPr>
        <w:t>FFH</w:t>
      </w:r>
      <w:r w:rsidRPr="00DD194D">
        <w:rPr>
          <w:lang w:val="en-AU"/>
        </w:rPr>
        <w:t xml:space="preserve"> in property leases</w:t>
      </w:r>
    </w:p>
    <w:p w14:paraId="4C4818F0" w14:textId="77777777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Maintaining a scale of rents according to differing levels of amenity in different types of accommodation offered</w:t>
      </w:r>
    </w:p>
    <w:p w14:paraId="04F18E80" w14:textId="77777777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Rent based on fair and consistent percentage of income while allowing for Factor 2.</w:t>
      </w:r>
    </w:p>
    <w:p w14:paraId="41F479C6" w14:textId="77777777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Fairness and affordability of rents when compared with:</w:t>
      </w:r>
    </w:p>
    <w:p w14:paraId="5AF08063" w14:textId="77777777" w:rsidR="00DE4DFE" w:rsidRPr="00DD194D" w:rsidRDefault="00DE4DFE" w:rsidP="00DE4DFE">
      <w:pPr>
        <w:pStyle w:val="ListParagraph"/>
        <w:numPr>
          <w:ilvl w:val="1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The rents of other community housing agencies managing similar accommodation</w:t>
      </w:r>
    </w:p>
    <w:p w14:paraId="577A3F8A" w14:textId="77777777" w:rsidR="00DE4DFE" w:rsidRPr="00DD194D" w:rsidRDefault="00DE4DFE" w:rsidP="00DE4DFE">
      <w:pPr>
        <w:pStyle w:val="ListParagraph"/>
        <w:numPr>
          <w:ilvl w:val="1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Henderson Poverty Line- after rent income</w:t>
      </w:r>
    </w:p>
    <w:p w14:paraId="07E4685A" w14:textId="77777777" w:rsidR="00DE4DFE" w:rsidRPr="00DD194D" w:rsidRDefault="00DE4DFE" w:rsidP="00DE4DFE">
      <w:pPr>
        <w:pStyle w:val="ListParagraph"/>
        <w:numPr>
          <w:ilvl w:val="1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Median Rents per room for a 3-bedroom house in cheaper suburbs of Melbourne (compare with Sunshine, St Albans)</w:t>
      </w:r>
    </w:p>
    <w:p w14:paraId="608408A7" w14:textId="77777777" w:rsidR="00DE4DFE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SPCHG annual Business Plan and plans for expansion of housing stock.</w:t>
      </w:r>
    </w:p>
    <w:p w14:paraId="444CE534" w14:textId="77777777" w:rsidR="00DE4DFE" w:rsidRDefault="00DE4DFE" w:rsidP="00DE4DFE"/>
    <w:p w14:paraId="5501E35E" w14:textId="676B13BC" w:rsidR="00DE4DFE" w:rsidRDefault="00DE4DFE" w:rsidP="00DE4DFE">
      <w:r w:rsidRPr="00091A8F">
        <w:t xml:space="preserve">As required by the Residential Tenancies Act 1997, </w:t>
      </w:r>
      <w:r w:rsidR="003E4473">
        <w:t>renter</w:t>
      </w:r>
      <w:r w:rsidRPr="00091A8F">
        <w:t xml:space="preserve">s will be given a minimum of 60 days </w:t>
      </w:r>
      <w:r w:rsidRPr="003B726E">
        <w:t xml:space="preserve">written notice of a proposed rent increase and rents will not be increased more frequently than every </w:t>
      </w:r>
      <w:r w:rsidR="003E4473">
        <w:t>12</w:t>
      </w:r>
      <w:r w:rsidRPr="003B726E">
        <w:t xml:space="preserve"> months. Notices regarding rent increases will, in accordance with the Act, include a statement informing the resident of </w:t>
      </w:r>
      <w:r w:rsidR="003E4473">
        <w:t>their</w:t>
      </w:r>
      <w:r w:rsidRPr="003B726E">
        <w:t xml:space="preserve"> right to apply for an investigation and report on the proposed rent.</w:t>
      </w:r>
    </w:p>
    <w:p w14:paraId="0162B670" w14:textId="77777777" w:rsidR="003E4473" w:rsidRDefault="003E4473" w:rsidP="00482066"/>
    <w:p w14:paraId="447C6111" w14:textId="0AEAD403" w:rsidR="00482066" w:rsidRDefault="00DE4DFE" w:rsidP="00482066">
      <w:r w:rsidRPr="00091A8F">
        <w:t xml:space="preserve">Rent increase notices will be accompanied by a letter from the CEO giving the date of the </w:t>
      </w:r>
      <w:r w:rsidR="003E4473">
        <w:t>Board</w:t>
      </w:r>
      <w:r w:rsidRPr="00091A8F">
        <w:t xml:space="preserve"> decision and outlining factors that have contributed to the need for the rent increase.</w:t>
      </w:r>
    </w:p>
    <w:p w14:paraId="72A4B3CC" w14:textId="77777777" w:rsidR="00482066" w:rsidRDefault="00482066" w:rsidP="00482066"/>
    <w:p w14:paraId="33928528" w14:textId="77777777" w:rsidR="00EA7AAC" w:rsidRPr="0097182E" w:rsidRDefault="00EA7AAC" w:rsidP="00EA7AAC">
      <w:pPr>
        <w:pStyle w:val="Heading1"/>
      </w:pPr>
      <w:r w:rsidRPr="0097182E">
        <w:t>How the policy can be changed</w:t>
      </w:r>
    </w:p>
    <w:p w14:paraId="621D4766" w14:textId="2A6E1943" w:rsidR="00EA7AAC" w:rsidRDefault="00EA7AAC" w:rsidP="00EA7AAC">
      <w:r>
        <w:t>SPCHG may from time to time implement changes to this policy.  The revised policy will apply to all tenancies on and from the date of the change.</w:t>
      </w:r>
      <w:r w:rsidR="003A1DCD">
        <w:t xml:space="preserve"> </w:t>
      </w:r>
      <w:r>
        <w:t xml:space="preserve">SPCHG will implement strategies to mitigate the effect of any changes of this policy on </w:t>
      </w:r>
      <w:r w:rsidR="003E4473">
        <w:t>renter</w:t>
      </w:r>
      <w:r>
        <w:t>s and households.</w:t>
      </w:r>
    </w:p>
    <w:p w14:paraId="1848FB29" w14:textId="77777777" w:rsidR="0048646F" w:rsidRDefault="0048646F" w:rsidP="00DE4DFE"/>
    <w:p w14:paraId="42D804F9" w14:textId="77777777" w:rsidR="00EA7AAC" w:rsidRDefault="00EA7AAC" w:rsidP="00EA7AAC">
      <w:pPr>
        <w:pStyle w:val="Heading1"/>
      </w:pPr>
      <w:r>
        <w:t>Procedures</w:t>
      </w:r>
    </w:p>
    <w:p w14:paraId="74439D52" w14:textId="6217EE5E" w:rsidR="00EA7AAC" w:rsidRDefault="00EA7AAC" w:rsidP="00EA7AAC">
      <w:r>
        <w:t>Procedures established by SPCHG will include processes to ensure compliance with this policy, including:</w:t>
      </w:r>
    </w:p>
    <w:p w14:paraId="60F73CF6" w14:textId="77777777" w:rsidR="00EA7AAC" w:rsidRPr="003B726E" w:rsidRDefault="00EA7AAC" w:rsidP="00EA7AAC">
      <w:pPr>
        <w:pStyle w:val="ListParagraph"/>
        <w:numPr>
          <w:ilvl w:val="0"/>
          <w:numId w:val="16"/>
        </w:numPr>
        <w:spacing w:after="0" w:line="240" w:lineRule="auto"/>
        <w:jc w:val="left"/>
      </w:pPr>
      <w:r>
        <w:t xml:space="preserve">to set and </w:t>
      </w:r>
      <w:r w:rsidRPr="003B726E">
        <w:t>review the affordable rent;</w:t>
      </w:r>
    </w:p>
    <w:p w14:paraId="07EA920C" w14:textId="327E31AD" w:rsidR="00EA7AAC" w:rsidRPr="003B726E" w:rsidRDefault="00EA7AAC" w:rsidP="00EA7AAC">
      <w:pPr>
        <w:pStyle w:val="ListParagraph"/>
        <w:numPr>
          <w:ilvl w:val="0"/>
          <w:numId w:val="16"/>
        </w:numPr>
        <w:spacing w:after="0" w:line="240" w:lineRule="auto"/>
        <w:jc w:val="left"/>
      </w:pPr>
      <w:r w:rsidRPr="003B726E">
        <w:t xml:space="preserve">on communication with applicants and </w:t>
      </w:r>
      <w:r w:rsidR="00D0627B">
        <w:t>renter</w:t>
      </w:r>
      <w:r w:rsidRPr="003B726E">
        <w:t>s about how SPCHG has determined their rent;</w:t>
      </w:r>
    </w:p>
    <w:p w14:paraId="4CF18052" w14:textId="77777777" w:rsidR="00EA7AAC" w:rsidRPr="003B726E" w:rsidRDefault="00EA7AAC" w:rsidP="00EA7AAC">
      <w:pPr>
        <w:pStyle w:val="ListParagraph"/>
        <w:numPr>
          <w:ilvl w:val="0"/>
          <w:numId w:val="16"/>
        </w:numPr>
        <w:spacing w:after="0" w:line="240" w:lineRule="auto"/>
        <w:jc w:val="left"/>
      </w:pPr>
      <w:r w:rsidRPr="003B726E">
        <w:t>to identify the rental approach that applies to a particular vacancy, property or tenancy; and</w:t>
      </w:r>
    </w:p>
    <w:p w14:paraId="67D498D6" w14:textId="7F688386" w:rsidR="00EA7AAC" w:rsidRDefault="00EA7AAC" w:rsidP="00EA7AAC">
      <w:r w:rsidRPr="003B726E">
        <w:t xml:space="preserve">how </w:t>
      </w:r>
      <w:r w:rsidR="00D0627B">
        <w:t>renter</w:t>
      </w:r>
      <w:r w:rsidRPr="003B726E">
        <w:t>s may ask for a determination of rent to</w:t>
      </w:r>
      <w:r>
        <w:t xml:space="preserve"> be reviewed</w:t>
      </w:r>
    </w:p>
    <w:p w14:paraId="61F83BC8" w14:textId="77777777" w:rsidR="00DE4DFE" w:rsidRDefault="00DE4DFE" w:rsidP="00EA7AAC"/>
    <w:p w14:paraId="0B1A5308" w14:textId="77777777" w:rsidR="00DE4DFE" w:rsidRDefault="00DE4DFE" w:rsidP="00DE4DFE">
      <w:pPr>
        <w:pStyle w:val="Heading1"/>
      </w:pPr>
      <w:r>
        <w:t>RELEVANT POLICIES</w:t>
      </w:r>
    </w:p>
    <w:p w14:paraId="0BF0188D" w14:textId="77777777" w:rsidR="00DE4DFE" w:rsidRDefault="00DE4DFE" w:rsidP="00DE4DFE">
      <w:pPr>
        <w:pStyle w:val="ListParagraph"/>
        <w:numPr>
          <w:ilvl w:val="0"/>
          <w:numId w:val="10"/>
        </w:numPr>
      </w:pPr>
      <w:r>
        <w:t>Tenancy Management Framework</w:t>
      </w:r>
    </w:p>
    <w:p w14:paraId="14EA8702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>Rent Payment Policy</w:t>
      </w:r>
    </w:p>
    <w:p w14:paraId="044A0A88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 xml:space="preserve">Evictions Policy </w:t>
      </w:r>
    </w:p>
    <w:p w14:paraId="2782BCBA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 xml:space="preserve">Inspection Policy </w:t>
      </w:r>
    </w:p>
    <w:p w14:paraId="528D41CA" w14:textId="5EA96373" w:rsidR="00DE4DFE" w:rsidRDefault="00DE4DFE" w:rsidP="003A1DCD">
      <w:pPr>
        <w:pStyle w:val="ListParagraph"/>
        <w:numPr>
          <w:ilvl w:val="1"/>
          <w:numId w:val="10"/>
        </w:numPr>
      </w:pPr>
      <w:r>
        <w:t>Allocations Policy</w:t>
      </w:r>
    </w:p>
    <w:p w14:paraId="1021CDD5" w14:textId="2EE49727" w:rsidR="00DE4DFE" w:rsidRDefault="00D0627B" w:rsidP="00DE4DFE">
      <w:pPr>
        <w:pStyle w:val="ListParagraph"/>
        <w:numPr>
          <w:ilvl w:val="1"/>
          <w:numId w:val="10"/>
        </w:numPr>
      </w:pPr>
      <w:r>
        <w:t>Renter</w:t>
      </w:r>
      <w:r w:rsidR="00DE4DFE">
        <w:t xml:space="preserve"> Transfer </w:t>
      </w:r>
    </w:p>
    <w:p w14:paraId="7BE229FC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>Service Charter</w:t>
      </w:r>
    </w:p>
    <w:p w14:paraId="2E719EEF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 xml:space="preserve">Code of Conduct </w:t>
      </w:r>
    </w:p>
    <w:p w14:paraId="57EB105D" w14:textId="77777777" w:rsidR="00034149" w:rsidRDefault="00034149" w:rsidP="00DE4DFE">
      <w:pPr>
        <w:pStyle w:val="ListParagraph"/>
        <w:numPr>
          <w:ilvl w:val="1"/>
          <w:numId w:val="10"/>
        </w:numPr>
      </w:pPr>
      <w:r>
        <w:t xml:space="preserve">Complaints Policy </w:t>
      </w:r>
    </w:p>
    <w:p w14:paraId="6FDF9BF2" w14:textId="77777777" w:rsidR="00034149" w:rsidRDefault="00034149" w:rsidP="00DE4DFE">
      <w:pPr>
        <w:pStyle w:val="ListParagraph"/>
        <w:numPr>
          <w:ilvl w:val="1"/>
          <w:numId w:val="10"/>
        </w:numPr>
      </w:pPr>
      <w:r>
        <w:t xml:space="preserve">Maintenance Policy </w:t>
      </w:r>
    </w:p>
    <w:p w14:paraId="706E7CC9" w14:textId="77777777" w:rsidR="00034149" w:rsidRPr="00DE4DFE" w:rsidRDefault="00034149" w:rsidP="00DE4DFE">
      <w:pPr>
        <w:pStyle w:val="ListParagraph"/>
        <w:numPr>
          <w:ilvl w:val="1"/>
          <w:numId w:val="10"/>
        </w:numPr>
      </w:pPr>
      <w:r>
        <w:t xml:space="preserve">Hoarding Policy </w:t>
      </w:r>
    </w:p>
    <w:sectPr w:rsidR="00034149" w:rsidRPr="00DE4DFE" w:rsidSect="003C1F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753C" w14:textId="77777777" w:rsidR="007C305E" w:rsidRDefault="007C305E" w:rsidP="007C305E">
      <w:r>
        <w:separator/>
      </w:r>
    </w:p>
  </w:endnote>
  <w:endnote w:type="continuationSeparator" w:id="0">
    <w:p w14:paraId="72A438D7" w14:textId="77777777" w:rsidR="007C305E" w:rsidRDefault="007C305E" w:rsidP="007C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456076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9185E" w14:textId="79ACDD20" w:rsidR="009563C8" w:rsidRPr="003A1DCD" w:rsidRDefault="00632307" w:rsidP="00021EEB">
            <w:pPr>
              <w:pStyle w:val="Footer"/>
            </w:pPr>
            <w:r>
              <w:rPr>
                <w:i/>
                <w:sz w:val="18"/>
                <w:szCs w:val="18"/>
              </w:rPr>
              <w:t xml:space="preserve"> </w:t>
            </w:r>
            <w:r w:rsidR="003A1DCD">
              <w:t>SPCHG Rent Setting Policy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A1DCD">
              <w:tab/>
            </w:r>
            <w:r w:rsidR="003A1DCD">
              <w:tab/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 w:rsidRPr="00DB4018">
              <w:rPr>
                <w:i/>
                <w:sz w:val="18"/>
                <w:szCs w:val="18"/>
              </w:rPr>
              <w:t xml:space="preserve">Page </w:t>
            </w:r>
            <w:r w:rsidRPr="00DB4018">
              <w:rPr>
                <w:bCs/>
                <w:i/>
                <w:sz w:val="18"/>
                <w:szCs w:val="18"/>
              </w:rPr>
              <w:fldChar w:fldCharType="begin"/>
            </w:r>
            <w:r w:rsidRPr="00DB401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DB4018">
              <w:rPr>
                <w:bCs/>
                <w:i/>
                <w:sz w:val="18"/>
                <w:szCs w:val="18"/>
              </w:rPr>
              <w:fldChar w:fldCharType="separate"/>
            </w:r>
            <w:r w:rsidR="00044E2F">
              <w:rPr>
                <w:bCs/>
                <w:i/>
                <w:noProof/>
                <w:sz w:val="18"/>
                <w:szCs w:val="18"/>
              </w:rPr>
              <w:t>2</w:t>
            </w:r>
            <w:r w:rsidRPr="00DB4018">
              <w:rPr>
                <w:bCs/>
                <w:i/>
                <w:sz w:val="18"/>
                <w:szCs w:val="18"/>
              </w:rPr>
              <w:fldChar w:fldCharType="end"/>
            </w:r>
            <w:r w:rsidRPr="00DB4018">
              <w:rPr>
                <w:i/>
                <w:sz w:val="18"/>
                <w:szCs w:val="18"/>
              </w:rPr>
              <w:t xml:space="preserve"> of </w:t>
            </w:r>
            <w:r w:rsidRPr="00DB4018">
              <w:rPr>
                <w:bCs/>
                <w:i/>
                <w:sz w:val="18"/>
                <w:szCs w:val="18"/>
              </w:rPr>
              <w:fldChar w:fldCharType="begin"/>
            </w:r>
            <w:r w:rsidRPr="00DB401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DB4018">
              <w:rPr>
                <w:bCs/>
                <w:i/>
                <w:sz w:val="18"/>
                <w:szCs w:val="18"/>
              </w:rPr>
              <w:fldChar w:fldCharType="separate"/>
            </w:r>
            <w:r w:rsidR="00044E2F">
              <w:rPr>
                <w:bCs/>
                <w:i/>
                <w:noProof/>
                <w:sz w:val="18"/>
                <w:szCs w:val="18"/>
              </w:rPr>
              <w:t>5</w:t>
            </w:r>
            <w:r w:rsidRPr="00DB401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1E2F" w14:textId="77777777" w:rsidR="007C305E" w:rsidRDefault="007C305E" w:rsidP="007C305E">
      <w:r>
        <w:separator/>
      </w:r>
    </w:p>
  </w:footnote>
  <w:footnote w:type="continuationSeparator" w:id="0">
    <w:p w14:paraId="2C737886" w14:textId="77777777" w:rsidR="007C305E" w:rsidRDefault="007C305E" w:rsidP="007C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8773" w14:textId="77777777" w:rsidR="009563C8" w:rsidRPr="00E63440" w:rsidRDefault="00632307" w:rsidP="00E63440">
    <w:pPr>
      <w:pStyle w:val="Header"/>
    </w:pPr>
    <w:bookmarkStart w:id="0" w:name="_Toc409172963"/>
    <w:r>
      <w:rPr>
        <w:noProof/>
      </w:rPr>
      <w:drawing>
        <wp:inline distT="0" distB="0" distL="0" distR="0" wp14:anchorId="0B991A84" wp14:editId="0B9AF7EC">
          <wp:extent cx="330200" cy="545465"/>
          <wp:effectExtent l="0" t="0" r="0" b="6985"/>
          <wp:docPr id="2" name="Picture 2" descr="logo 5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5E91274" w14:textId="77777777" w:rsidR="009563C8" w:rsidRPr="00D716D6" w:rsidRDefault="00044E2F" w:rsidP="00026EEC">
    <w:pPr>
      <w:rPr>
        <w:u w:val="single"/>
      </w:rPr>
    </w:pPr>
    <w:r>
      <w:rPr>
        <w:u w:val="single"/>
      </w:rPr>
      <w:t>RENT SETTING POLICY________________________________________________________________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9A5"/>
    <w:multiLevelType w:val="hybridMultilevel"/>
    <w:tmpl w:val="D81E7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5CE"/>
    <w:multiLevelType w:val="hybridMultilevel"/>
    <w:tmpl w:val="5698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C46"/>
    <w:multiLevelType w:val="hybridMultilevel"/>
    <w:tmpl w:val="BB4CF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9D7"/>
    <w:multiLevelType w:val="hybridMultilevel"/>
    <w:tmpl w:val="8CB6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77C9"/>
    <w:multiLevelType w:val="hybridMultilevel"/>
    <w:tmpl w:val="4076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5D46"/>
    <w:multiLevelType w:val="hybridMultilevel"/>
    <w:tmpl w:val="157C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217"/>
    <w:multiLevelType w:val="hybridMultilevel"/>
    <w:tmpl w:val="ED00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32FA"/>
    <w:multiLevelType w:val="multilevel"/>
    <w:tmpl w:val="320C743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8E06CA6"/>
    <w:multiLevelType w:val="hybridMultilevel"/>
    <w:tmpl w:val="7894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4E92"/>
    <w:multiLevelType w:val="hybridMultilevel"/>
    <w:tmpl w:val="069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6A5F"/>
    <w:multiLevelType w:val="hybridMultilevel"/>
    <w:tmpl w:val="2E68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680E"/>
    <w:multiLevelType w:val="hybridMultilevel"/>
    <w:tmpl w:val="5402258E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A73B1"/>
    <w:multiLevelType w:val="hybridMultilevel"/>
    <w:tmpl w:val="3D207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6502"/>
    <w:multiLevelType w:val="hybridMultilevel"/>
    <w:tmpl w:val="BAB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A7873"/>
    <w:multiLevelType w:val="hybridMultilevel"/>
    <w:tmpl w:val="474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5A04"/>
    <w:multiLevelType w:val="hybridMultilevel"/>
    <w:tmpl w:val="76D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101803582">
    <w:abstractNumId w:val="7"/>
  </w:num>
  <w:num w:numId="2" w16cid:durableId="315112319">
    <w:abstractNumId w:val="11"/>
  </w:num>
  <w:num w:numId="3" w16cid:durableId="1200238957">
    <w:abstractNumId w:val="5"/>
  </w:num>
  <w:num w:numId="4" w16cid:durableId="150024912">
    <w:abstractNumId w:val="0"/>
  </w:num>
  <w:num w:numId="5" w16cid:durableId="94521347">
    <w:abstractNumId w:val="2"/>
  </w:num>
  <w:num w:numId="6" w16cid:durableId="967010573">
    <w:abstractNumId w:val="6"/>
  </w:num>
  <w:num w:numId="7" w16cid:durableId="960300478">
    <w:abstractNumId w:val="4"/>
  </w:num>
  <w:num w:numId="8" w16cid:durableId="1166168072">
    <w:abstractNumId w:val="12"/>
  </w:num>
  <w:num w:numId="9" w16cid:durableId="31344765">
    <w:abstractNumId w:val="14"/>
  </w:num>
  <w:num w:numId="10" w16cid:durableId="1465929506">
    <w:abstractNumId w:val="8"/>
  </w:num>
  <w:num w:numId="11" w16cid:durableId="70390484">
    <w:abstractNumId w:val="9"/>
  </w:num>
  <w:num w:numId="12" w16cid:durableId="965895214">
    <w:abstractNumId w:val="3"/>
  </w:num>
  <w:num w:numId="13" w16cid:durableId="6951432">
    <w:abstractNumId w:val="15"/>
  </w:num>
  <w:num w:numId="14" w16cid:durableId="758521913">
    <w:abstractNumId w:val="10"/>
  </w:num>
  <w:num w:numId="15" w16cid:durableId="2088723998">
    <w:abstractNumId w:val="1"/>
  </w:num>
  <w:num w:numId="16" w16cid:durableId="6271245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5E"/>
    <w:rsid w:val="00026EEC"/>
    <w:rsid w:val="00034149"/>
    <w:rsid w:val="00044E2F"/>
    <w:rsid w:val="0008227E"/>
    <w:rsid w:val="000D1CF8"/>
    <w:rsid w:val="00265F56"/>
    <w:rsid w:val="00336C79"/>
    <w:rsid w:val="00342943"/>
    <w:rsid w:val="003A1DCD"/>
    <w:rsid w:val="003A330C"/>
    <w:rsid w:val="003B726E"/>
    <w:rsid w:val="003E4473"/>
    <w:rsid w:val="003F4755"/>
    <w:rsid w:val="00482066"/>
    <w:rsid w:val="0048646F"/>
    <w:rsid w:val="004D5C1B"/>
    <w:rsid w:val="005852D7"/>
    <w:rsid w:val="00631526"/>
    <w:rsid w:val="00632307"/>
    <w:rsid w:val="006E7367"/>
    <w:rsid w:val="00751561"/>
    <w:rsid w:val="007C305E"/>
    <w:rsid w:val="007D392A"/>
    <w:rsid w:val="0087791D"/>
    <w:rsid w:val="008E66AE"/>
    <w:rsid w:val="00965F8C"/>
    <w:rsid w:val="0097600A"/>
    <w:rsid w:val="00A6230C"/>
    <w:rsid w:val="00AF321C"/>
    <w:rsid w:val="00BB48C1"/>
    <w:rsid w:val="00C44B69"/>
    <w:rsid w:val="00C47396"/>
    <w:rsid w:val="00D0627B"/>
    <w:rsid w:val="00D716D6"/>
    <w:rsid w:val="00DE4DFE"/>
    <w:rsid w:val="00E456CA"/>
    <w:rsid w:val="00EA7AAC"/>
    <w:rsid w:val="00EF2533"/>
    <w:rsid w:val="00F1252E"/>
    <w:rsid w:val="00F45517"/>
    <w:rsid w:val="00F641A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716EE"/>
  <w15:docId w15:val="{84CE450A-FE61-4B46-AE74-FD2C697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5E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307"/>
    <w:pPr>
      <w:keepNext/>
      <w:keepLines/>
      <w:numPr>
        <w:numId w:val="1"/>
      </w:numPr>
      <w:tabs>
        <w:tab w:val="left" w:pos="851"/>
        <w:tab w:val="left" w:pos="1134"/>
      </w:tabs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307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ascii="Calibri" w:eastAsiaTheme="majorEastAsia" w:hAnsi="Calibri" w:cstheme="majorBidi"/>
      <w:bCs/>
      <w:caps/>
      <w:color w:val="000000" w:themeColor="text1"/>
      <w:szCs w:val="26"/>
    </w:rPr>
  </w:style>
  <w:style w:type="paragraph" w:styleId="Heading3">
    <w:name w:val="heading 3"/>
    <w:basedOn w:val="Heading1"/>
    <w:next w:val="Normal"/>
    <w:link w:val="Heading3Char"/>
    <w:qFormat/>
    <w:rsid w:val="00632307"/>
    <w:pPr>
      <w:numPr>
        <w:ilvl w:val="2"/>
      </w:numPr>
      <w:outlineLvl w:val="2"/>
    </w:pPr>
    <w:rPr>
      <w:b w:val="0"/>
      <w:cap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3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307"/>
    <w:rPr>
      <w:rFonts w:ascii="Calibri" w:eastAsiaTheme="majorEastAsia" w:hAnsi="Calibri" w:cstheme="majorBidi"/>
      <w:bCs/>
      <w:caps/>
      <w:color w:val="000000" w:themeColor="text1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632307"/>
    <w:rPr>
      <w:rFonts w:ascii="Calibri" w:eastAsiaTheme="majorEastAsia" w:hAnsi="Calibri" w:cstheme="majorBidi"/>
      <w:bCs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307"/>
    <w:rPr>
      <w:rFonts w:asciiTheme="majorHAnsi" w:eastAsiaTheme="majorEastAsia" w:hAnsiTheme="majorHAnsi" w:cstheme="majorBidi"/>
      <w:bCs/>
      <w:iCs/>
      <w:caps/>
      <w:color w:val="000000" w:themeColor="text1"/>
      <w:szCs w:val="20"/>
      <w:lang w:eastAsia="en-AU"/>
    </w:rPr>
  </w:style>
  <w:style w:type="paragraph" w:styleId="BodyText">
    <w:name w:val="Body Text"/>
    <w:basedOn w:val="Normal"/>
    <w:link w:val="BodyTextChar"/>
    <w:rsid w:val="007C305E"/>
    <w:pPr>
      <w:widowControl w:val="0"/>
      <w:spacing w:after="160"/>
    </w:pPr>
    <w:rPr>
      <w:rFonts w:ascii="Gill Sans MT" w:hAnsi="Gill Sans MT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C305E"/>
    <w:rPr>
      <w:rFonts w:ascii="Gill Sans MT" w:eastAsia="Times New Roman" w:hAnsi="Gill Sans MT" w:cs="Times New Roman"/>
    </w:rPr>
  </w:style>
  <w:style w:type="paragraph" w:styleId="ListParagraph">
    <w:name w:val="List Paragraph"/>
    <w:basedOn w:val="Normal"/>
    <w:uiPriority w:val="34"/>
    <w:qFormat/>
    <w:rsid w:val="007C305E"/>
    <w:pPr>
      <w:spacing w:after="120" w:line="276" w:lineRule="auto"/>
      <w:ind w:left="720"/>
      <w:contextualSpacing/>
      <w:jc w:val="both"/>
    </w:pPr>
    <w:rPr>
      <w:rFonts w:ascii="Calibri" w:hAnsi="Calibri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C3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5E"/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3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5E"/>
    <w:rPr>
      <w:rFonts w:eastAsia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5E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7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0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2307"/>
    <w:rPr>
      <w:rFonts w:ascii="Calibri" w:eastAsiaTheme="majorEastAsia" w:hAnsi="Calibri" w:cstheme="majorBidi"/>
      <w:b/>
      <w:bCs/>
      <w:caps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6C13-215E-4F03-BCE1-9B982AF7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Diner</dc:creator>
  <cp:lastModifiedBy>Charlie Beckley</cp:lastModifiedBy>
  <cp:revision>4</cp:revision>
  <cp:lastPrinted>2020-02-18T01:15:00Z</cp:lastPrinted>
  <dcterms:created xsi:type="dcterms:W3CDTF">2023-02-15T00:48:00Z</dcterms:created>
  <dcterms:modified xsi:type="dcterms:W3CDTF">2023-02-15T01:10:00Z</dcterms:modified>
</cp:coreProperties>
</file>