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4A0" w:firstRow="1" w:lastRow="0" w:firstColumn="1" w:lastColumn="0" w:noHBand="0" w:noVBand="1"/>
      </w:tblPr>
      <w:tblGrid>
        <w:gridCol w:w="3905"/>
        <w:gridCol w:w="5003"/>
      </w:tblGrid>
      <w:tr w:rsidR="004D1097" w:rsidRPr="00175F32" w14:paraId="3905889D" w14:textId="77777777" w:rsidTr="00C50E08">
        <w:tc>
          <w:tcPr>
            <w:tcW w:w="3969" w:type="dxa"/>
            <w:shd w:val="clear" w:color="auto" w:fill="C6D9F1" w:themeFill="text2" w:themeFillTint="33"/>
            <w:vAlign w:val="center"/>
          </w:tcPr>
          <w:p w14:paraId="48DD393B" w14:textId="77777777" w:rsidR="004D1097" w:rsidRPr="00175F32" w:rsidRDefault="004D1097" w:rsidP="007845DC">
            <w:pPr>
              <w:rPr>
                <w:rFonts w:cs="Calibri"/>
                <w:szCs w:val="22"/>
              </w:rPr>
            </w:pPr>
            <w:r>
              <w:rPr>
                <w:rFonts w:cs="Calibri"/>
                <w:szCs w:val="22"/>
              </w:rPr>
              <w:t>DOCUMENT:</w:t>
            </w:r>
          </w:p>
        </w:tc>
        <w:tc>
          <w:tcPr>
            <w:tcW w:w="5103" w:type="dxa"/>
            <w:shd w:val="clear" w:color="auto" w:fill="auto"/>
            <w:vAlign w:val="center"/>
          </w:tcPr>
          <w:p w14:paraId="69E95F9A" w14:textId="77777777" w:rsidR="004D1097" w:rsidRPr="004D1097" w:rsidRDefault="004D1097">
            <w:pPr>
              <w:rPr>
                <w:rFonts w:cs="Calibri"/>
                <w:b/>
                <w:szCs w:val="22"/>
              </w:rPr>
            </w:pPr>
            <w:r w:rsidRPr="004D1097">
              <w:rPr>
                <w:rFonts w:cs="Calibri"/>
                <w:b/>
                <w:szCs w:val="22"/>
              </w:rPr>
              <w:t>RENT MANAGEMENT POLICY</w:t>
            </w:r>
          </w:p>
        </w:tc>
      </w:tr>
      <w:tr w:rsidR="003608DD" w:rsidRPr="00175F32" w14:paraId="2DDC1802" w14:textId="77777777" w:rsidTr="00C50E08">
        <w:tc>
          <w:tcPr>
            <w:tcW w:w="3969" w:type="dxa"/>
            <w:shd w:val="clear" w:color="auto" w:fill="C6D9F1" w:themeFill="text2" w:themeFillTint="33"/>
            <w:vAlign w:val="center"/>
            <w:hideMark/>
          </w:tcPr>
          <w:p w14:paraId="2456B791" w14:textId="77777777" w:rsidR="003608DD" w:rsidRPr="00175F32" w:rsidRDefault="003608DD" w:rsidP="007845DC">
            <w:pPr>
              <w:rPr>
                <w:szCs w:val="22"/>
              </w:rPr>
            </w:pPr>
            <w:r w:rsidRPr="00175F32">
              <w:rPr>
                <w:rFonts w:cs="Calibri"/>
                <w:szCs w:val="22"/>
              </w:rPr>
              <w:t>DOCUMENT TYPE:</w:t>
            </w:r>
          </w:p>
        </w:tc>
        <w:tc>
          <w:tcPr>
            <w:tcW w:w="5103" w:type="dxa"/>
            <w:shd w:val="clear" w:color="auto" w:fill="auto"/>
            <w:vAlign w:val="center"/>
            <w:hideMark/>
          </w:tcPr>
          <w:p w14:paraId="2DCD08EC" w14:textId="77777777" w:rsidR="003608DD" w:rsidRPr="00175F32" w:rsidRDefault="003608DD">
            <w:pPr>
              <w:rPr>
                <w:szCs w:val="22"/>
              </w:rPr>
            </w:pPr>
            <w:r w:rsidRPr="00175F32">
              <w:rPr>
                <w:rFonts w:cs="Calibri"/>
                <w:szCs w:val="22"/>
              </w:rPr>
              <w:t>OPERATIONAL POLICY</w:t>
            </w:r>
          </w:p>
        </w:tc>
      </w:tr>
      <w:tr w:rsidR="003608DD" w:rsidRPr="00175F32" w14:paraId="51320CFE" w14:textId="77777777" w:rsidTr="00C50E08">
        <w:tc>
          <w:tcPr>
            <w:tcW w:w="3969" w:type="dxa"/>
            <w:shd w:val="clear" w:color="auto" w:fill="C6D9F1" w:themeFill="text2" w:themeFillTint="33"/>
            <w:vAlign w:val="center"/>
            <w:hideMark/>
          </w:tcPr>
          <w:p w14:paraId="6F91C922" w14:textId="77777777" w:rsidR="003608DD" w:rsidRPr="00175F32" w:rsidRDefault="003608DD" w:rsidP="007845DC">
            <w:pPr>
              <w:rPr>
                <w:szCs w:val="22"/>
              </w:rPr>
            </w:pPr>
            <w:r w:rsidRPr="00175F32">
              <w:rPr>
                <w:rFonts w:cs="Calibri"/>
                <w:szCs w:val="22"/>
              </w:rPr>
              <w:t>VERSION:</w:t>
            </w:r>
          </w:p>
        </w:tc>
        <w:tc>
          <w:tcPr>
            <w:tcW w:w="5103" w:type="dxa"/>
            <w:shd w:val="clear" w:color="auto" w:fill="auto"/>
            <w:vAlign w:val="center"/>
            <w:hideMark/>
          </w:tcPr>
          <w:p w14:paraId="46DE1756" w14:textId="7626C22F" w:rsidR="003608DD" w:rsidRPr="00175F32" w:rsidRDefault="00C50E08">
            <w:pPr>
              <w:rPr>
                <w:szCs w:val="22"/>
              </w:rPr>
            </w:pPr>
            <w:r>
              <w:rPr>
                <w:rFonts w:cs="Calibri"/>
                <w:szCs w:val="22"/>
              </w:rPr>
              <w:t xml:space="preserve">Version 2 - </w:t>
            </w:r>
            <w:r w:rsidR="007845DC">
              <w:rPr>
                <w:rFonts w:cs="Calibri"/>
                <w:szCs w:val="22"/>
              </w:rPr>
              <w:t>FINAL</w:t>
            </w:r>
          </w:p>
        </w:tc>
      </w:tr>
      <w:tr w:rsidR="003608DD" w:rsidRPr="00175F32" w14:paraId="7C28BDFF" w14:textId="77777777" w:rsidTr="00C50E08">
        <w:tc>
          <w:tcPr>
            <w:tcW w:w="3969" w:type="dxa"/>
            <w:shd w:val="clear" w:color="auto" w:fill="C6D9F1" w:themeFill="text2" w:themeFillTint="33"/>
            <w:vAlign w:val="center"/>
            <w:hideMark/>
          </w:tcPr>
          <w:p w14:paraId="08294272" w14:textId="77777777" w:rsidR="003608DD" w:rsidRPr="00175F32" w:rsidRDefault="003608DD" w:rsidP="007845DC">
            <w:pPr>
              <w:rPr>
                <w:szCs w:val="22"/>
              </w:rPr>
            </w:pPr>
            <w:r w:rsidRPr="00175F32">
              <w:rPr>
                <w:rFonts w:cs="Calibri"/>
                <w:szCs w:val="22"/>
              </w:rPr>
              <w:t>AUTHOR:</w:t>
            </w:r>
          </w:p>
        </w:tc>
        <w:tc>
          <w:tcPr>
            <w:tcW w:w="5103" w:type="dxa"/>
            <w:shd w:val="clear" w:color="auto" w:fill="auto"/>
            <w:vAlign w:val="center"/>
            <w:hideMark/>
          </w:tcPr>
          <w:p w14:paraId="31E6BE8C" w14:textId="77777777" w:rsidR="003608DD" w:rsidRPr="00175F32" w:rsidRDefault="003608DD">
            <w:pPr>
              <w:rPr>
                <w:szCs w:val="22"/>
              </w:rPr>
            </w:pPr>
            <w:r w:rsidRPr="00175F32">
              <w:rPr>
                <w:rFonts w:cs="Calibri"/>
                <w:szCs w:val="22"/>
              </w:rPr>
              <w:t>PCSM</w:t>
            </w:r>
          </w:p>
        </w:tc>
      </w:tr>
      <w:tr w:rsidR="003608DD" w:rsidRPr="00175F32" w14:paraId="64353B4E" w14:textId="77777777" w:rsidTr="00C50E08">
        <w:tc>
          <w:tcPr>
            <w:tcW w:w="3969" w:type="dxa"/>
            <w:shd w:val="clear" w:color="auto" w:fill="C6D9F1" w:themeFill="text2" w:themeFillTint="33"/>
            <w:vAlign w:val="center"/>
            <w:hideMark/>
          </w:tcPr>
          <w:p w14:paraId="420DE83B" w14:textId="77777777" w:rsidR="003608DD" w:rsidRPr="00175F32" w:rsidRDefault="003608DD" w:rsidP="007845DC">
            <w:pPr>
              <w:rPr>
                <w:szCs w:val="22"/>
              </w:rPr>
            </w:pPr>
            <w:r w:rsidRPr="00175F32">
              <w:rPr>
                <w:rFonts w:cs="Calibri"/>
                <w:szCs w:val="22"/>
              </w:rPr>
              <w:t>AUTHORISATION FINAL VERSION</w:t>
            </w:r>
            <w:r w:rsidR="007845DC">
              <w:rPr>
                <w:rFonts w:cs="Calibri"/>
                <w:szCs w:val="22"/>
              </w:rPr>
              <w:t xml:space="preserve"> CEO</w:t>
            </w:r>
            <w:r w:rsidRPr="00175F32">
              <w:rPr>
                <w:rFonts w:cs="Calibri"/>
                <w:szCs w:val="22"/>
              </w:rPr>
              <w:t>:</w:t>
            </w:r>
          </w:p>
        </w:tc>
        <w:tc>
          <w:tcPr>
            <w:tcW w:w="5103" w:type="dxa"/>
            <w:shd w:val="clear" w:color="auto" w:fill="auto"/>
            <w:vAlign w:val="center"/>
          </w:tcPr>
          <w:p w14:paraId="2A92FE5F" w14:textId="77777777" w:rsidR="003608DD" w:rsidRPr="00175F32" w:rsidRDefault="003651B9">
            <w:pPr>
              <w:rPr>
                <w:szCs w:val="22"/>
              </w:rPr>
            </w:pPr>
            <w:r>
              <w:rPr>
                <w:szCs w:val="22"/>
              </w:rPr>
              <w:t>CEO</w:t>
            </w:r>
          </w:p>
        </w:tc>
      </w:tr>
      <w:tr w:rsidR="003608DD" w:rsidRPr="00175F32" w14:paraId="23162FF1" w14:textId="77777777" w:rsidTr="00C50E08">
        <w:tc>
          <w:tcPr>
            <w:tcW w:w="3969" w:type="dxa"/>
            <w:shd w:val="clear" w:color="auto" w:fill="C6D9F1" w:themeFill="text2" w:themeFillTint="33"/>
            <w:vAlign w:val="center"/>
            <w:hideMark/>
          </w:tcPr>
          <w:p w14:paraId="69311366" w14:textId="77777777" w:rsidR="003608DD" w:rsidRPr="00175F32" w:rsidRDefault="003608DD" w:rsidP="007845DC">
            <w:pPr>
              <w:rPr>
                <w:szCs w:val="22"/>
              </w:rPr>
            </w:pPr>
            <w:r w:rsidRPr="00175F32">
              <w:rPr>
                <w:rFonts w:cs="Calibri"/>
                <w:szCs w:val="22"/>
              </w:rPr>
              <w:t>ISSUE DATE:</w:t>
            </w:r>
          </w:p>
        </w:tc>
        <w:tc>
          <w:tcPr>
            <w:tcW w:w="5103" w:type="dxa"/>
            <w:shd w:val="clear" w:color="auto" w:fill="auto"/>
            <w:vAlign w:val="center"/>
          </w:tcPr>
          <w:p w14:paraId="1AC217C2" w14:textId="6EA65BCB" w:rsidR="003608DD" w:rsidRPr="00175F32" w:rsidRDefault="00C50E08">
            <w:pPr>
              <w:rPr>
                <w:szCs w:val="22"/>
              </w:rPr>
            </w:pPr>
            <w:r>
              <w:rPr>
                <w:szCs w:val="22"/>
              </w:rPr>
              <w:t>Updated Feb 2023</w:t>
            </w:r>
          </w:p>
        </w:tc>
      </w:tr>
      <w:tr w:rsidR="003608DD" w:rsidRPr="00175F32" w14:paraId="7C1528EA" w14:textId="77777777" w:rsidTr="00C50E08">
        <w:tc>
          <w:tcPr>
            <w:tcW w:w="3969" w:type="dxa"/>
            <w:shd w:val="clear" w:color="auto" w:fill="C6D9F1" w:themeFill="text2" w:themeFillTint="33"/>
            <w:vAlign w:val="center"/>
            <w:hideMark/>
          </w:tcPr>
          <w:p w14:paraId="2539E873" w14:textId="77777777" w:rsidR="003608DD" w:rsidRPr="00175F32" w:rsidRDefault="003608DD" w:rsidP="007845DC">
            <w:pPr>
              <w:rPr>
                <w:szCs w:val="22"/>
              </w:rPr>
            </w:pPr>
            <w:r w:rsidRPr="00175F32">
              <w:rPr>
                <w:rFonts w:cs="Calibri"/>
                <w:szCs w:val="22"/>
              </w:rPr>
              <w:t>REVIEW DATE:</w:t>
            </w:r>
          </w:p>
        </w:tc>
        <w:tc>
          <w:tcPr>
            <w:tcW w:w="5103" w:type="dxa"/>
            <w:shd w:val="clear" w:color="auto" w:fill="auto"/>
            <w:vAlign w:val="center"/>
          </w:tcPr>
          <w:p w14:paraId="39974A96" w14:textId="18F99DAE" w:rsidR="003608DD" w:rsidRPr="00175F32" w:rsidRDefault="00C50E08">
            <w:pPr>
              <w:rPr>
                <w:szCs w:val="22"/>
              </w:rPr>
            </w:pPr>
            <w:r>
              <w:rPr>
                <w:szCs w:val="22"/>
              </w:rPr>
              <w:t>Feb 2026</w:t>
            </w:r>
          </w:p>
        </w:tc>
      </w:tr>
    </w:tbl>
    <w:p w14:paraId="02C7EC43" w14:textId="77777777" w:rsidR="003608DD" w:rsidRPr="00175F32" w:rsidRDefault="003608DD" w:rsidP="009B1BC3">
      <w:pPr>
        <w:spacing w:after="120"/>
      </w:pPr>
    </w:p>
    <w:p w14:paraId="4ABF7ED6" w14:textId="77777777" w:rsidR="003608DD" w:rsidRDefault="003608DD" w:rsidP="009B1BC3">
      <w:pPr>
        <w:pStyle w:val="Heading1"/>
        <w:spacing w:after="120"/>
      </w:pPr>
      <w:r w:rsidRPr="00632307">
        <w:t>PURPOSE</w:t>
      </w:r>
    </w:p>
    <w:p w14:paraId="37774CA6" w14:textId="3B22CF8A" w:rsidR="003608DD" w:rsidRDefault="004D1097" w:rsidP="009B1BC3">
      <w:pPr>
        <w:spacing w:after="120"/>
      </w:pPr>
      <w:r>
        <w:t>This policy describes the guidelines and parameters for staff in managing</w:t>
      </w:r>
      <w:r w:rsidR="00242A32">
        <w:t xml:space="preserve"> rent </w:t>
      </w:r>
      <w:r w:rsidR="00F139AA">
        <w:t>collection</w:t>
      </w:r>
      <w:r>
        <w:t>.</w:t>
      </w:r>
    </w:p>
    <w:p w14:paraId="76C45A90" w14:textId="77777777" w:rsidR="003608DD" w:rsidRPr="00632307" w:rsidRDefault="003608DD" w:rsidP="009B1BC3">
      <w:pPr>
        <w:pStyle w:val="Heading1"/>
        <w:spacing w:after="120"/>
      </w:pPr>
      <w:r w:rsidRPr="00632307">
        <w:t xml:space="preserve">SCOPE  </w:t>
      </w:r>
    </w:p>
    <w:p w14:paraId="65D3337B" w14:textId="33FE04DD" w:rsidR="003608DD" w:rsidRDefault="003608DD" w:rsidP="009B1BC3">
      <w:pPr>
        <w:spacing w:after="120"/>
      </w:pPr>
      <w:r>
        <w:t xml:space="preserve">This policy applies to all </w:t>
      </w:r>
      <w:r w:rsidR="004D1097">
        <w:t xml:space="preserve">tenancies in </w:t>
      </w:r>
      <w:r>
        <w:t>long-term rental properties owned or managed by SPCHG</w:t>
      </w:r>
      <w:r w:rsidR="00F139AA">
        <w:t>.</w:t>
      </w:r>
      <w:r w:rsidR="00693464">
        <w:t xml:space="preserve"> </w:t>
      </w:r>
      <w:r w:rsidR="00693464" w:rsidRPr="003F4755">
        <w:t>This policy applies to both residential rental agreements (rental agreements) and rooming house</w:t>
      </w:r>
      <w:r w:rsidR="00693464">
        <w:t xml:space="preserve"> </w:t>
      </w:r>
      <w:r w:rsidR="00693464" w:rsidRPr="003F4755">
        <w:t>agreements. Unless stated otherwise, references to “renters”, “tenancies” and “rental agreements” also</w:t>
      </w:r>
      <w:r w:rsidR="00693464">
        <w:t xml:space="preserve"> </w:t>
      </w:r>
      <w:r w:rsidR="00693464" w:rsidRPr="003F4755">
        <w:t>applies to rooming house residents.</w:t>
      </w:r>
      <w:r w:rsidR="00F139AA">
        <w:t xml:space="preserve"> </w:t>
      </w:r>
      <w:r>
        <w:t xml:space="preserve"> </w:t>
      </w:r>
    </w:p>
    <w:p w14:paraId="726AE88C" w14:textId="77777777" w:rsidR="003608DD" w:rsidRPr="006B7A7C" w:rsidRDefault="004D1097" w:rsidP="00FB4EDF">
      <w:pPr>
        <w:pStyle w:val="Heading1"/>
        <w:spacing w:before="240" w:after="120" w:line="23" w:lineRule="atLeast"/>
      </w:pPr>
      <w:r>
        <w:t>AIMS/</w:t>
      </w:r>
      <w:r w:rsidR="003608DD" w:rsidRPr="006B7A7C">
        <w:t>PRINCIPLES</w:t>
      </w:r>
    </w:p>
    <w:p w14:paraId="0A682E29" w14:textId="77777777" w:rsidR="004D1097" w:rsidRDefault="004D1097" w:rsidP="009B1BC3">
      <w:pPr>
        <w:pStyle w:val="ListParagraph"/>
        <w:numPr>
          <w:ilvl w:val="0"/>
          <w:numId w:val="4"/>
        </w:numPr>
        <w:spacing w:line="23" w:lineRule="atLeast"/>
        <w:contextualSpacing w:val="0"/>
      </w:pPr>
      <w:r>
        <w:t>Fair and consistent process</w:t>
      </w:r>
    </w:p>
    <w:p w14:paraId="59BF9291" w14:textId="47222BD7" w:rsidR="00F139AA" w:rsidRDefault="00F139AA" w:rsidP="009B1BC3">
      <w:pPr>
        <w:pStyle w:val="ListParagraph"/>
        <w:numPr>
          <w:ilvl w:val="0"/>
          <w:numId w:val="4"/>
        </w:numPr>
        <w:spacing w:line="23" w:lineRule="atLeast"/>
        <w:contextualSpacing w:val="0"/>
      </w:pPr>
      <w:r>
        <w:t xml:space="preserve">Supporting </w:t>
      </w:r>
      <w:proofErr w:type="spellStart"/>
      <w:r>
        <w:t>marginali</w:t>
      </w:r>
      <w:r w:rsidR="00C50E08">
        <w:t>s</w:t>
      </w:r>
      <w:r>
        <w:t>ed</w:t>
      </w:r>
      <w:proofErr w:type="spellEnd"/>
      <w:r>
        <w:t xml:space="preserve"> people to maintain tenancies</w:t>
      </w:r>
      <w:r w:rsidR="004D1097">
        <w:t xml:space="preserve"> by offering </w:t>
      </w:r>
      <w:r w:rsidR="007751CD">
        <w:t xml:space="preserve">rent </w:t>
      </w:r>
      <w:r w:rsidR="004D1097">
        <w:t xml:space="preserve">repayment agreements where </w:t>
      </w:r>
      <w:r w:rsidR="00C50E08">
        <w:t>renters</w:t>
      </w:r>
      <w:r w:rsidR="004D1097">
        <w:t xml:space="preserve"> are willing to engage</w:t>
      </w:r>
    </w:p>
    <w:p w14:paraId="25669CF1" w14:textId="1FAE425F" w:rsidR="00F139AA" w:rsidRDefault="00F139AA" w:rsidP="009B1BC3">
      <w:pPr>
        <w:pStyle w:val="ListParagraph"/>
        <w:numPr>
          <w:ilvl w:val="0"/>
          <w:numId w:val="4"/>
        </w:numPr>
        <w:spacing w:line="23" w:lineRule="atLeast"/>
        <w:contextualSpacing w:val="0"/>
      </w:pPr>
      <w:r>
        <w:t>Keep</w:t>
      </w:r>
      <w:r w:rsidR="004D1097">
        <w:t>ing</w:t>
      </w:r>
      <w:r>
        <w:t xml:space="preserve"> </w:t>
      </w:r>
      <w:r w:rsidR="00C50E08">
        <w:t>renter</w:t>
      </w:r>
      <w:r>
        <w:t xml:space="preserve">s informed of their </w:t>
      </w:r>
      <w:r w:rsidR="007751CD">
        <w:t xml:space="preserve">rent </w:t>
      </w:r>
      <w:r>
        <w:t>situation</w:t>
      </w:r>
    </w:p>
    <w:p w14:paraId="6C9FA257" w14:textId="77777777" w:rsidR="004D1097" w:rsidRDefault="004D1097" w:rsidP="009B1BC3">
      <w:pPr>
        <w:pStyle w:val="ListParagraph"/>
        <w:numPr>
          <w:ilvl w:val="0"/>
          <w:numId w:val="4"/>
        </w:numPr>
        <w:spacing w:line="23" w:lineRule="atLeast"/>
        <w:contextualSpacing w:val="0"/>
      </w:pPr>
      <w:r>
        <w:t>Timely communication to not allow an individual’s rent arrears to become unmanageable</w:t>
      </w:r>
    </w:p>
    <w:p w14:paraId="4323C6D0" w14:textId="459DF35C" w:rsidR="00F139AA" w:rsidRDefault="004D1097" w:rsidP="009B1BC3">
      <w:pPr>
        <w:pStyle w:val="ListParagraph"/>
        <w:numPr>
          <w:ilvl w:val="0"/>
          <w:numId w:val="4"/>
        </w:numPr>
        <w:spacing w:line="23" w:lineRule="atLeast"/>
        <w:contextualSpacing w:val="0"/>
      </w:pPr>
      <w:r>
        <w:t>Clear communication, a</w:t>
      </w:r>
      <w:r w:rsidR="00F139AA">
        <w:t>ssist</w:t>
      </w:r>
      <w:r>
        <w:t>ing</w:t>
      </w:r>
      <w:r w:rsidR="00F139AA">
        <w:t xml:space="preserve"> </w:t>
      </w:r>
      <w:r w:rsidR="00C50E08">
        <w:t>renter</w:t>
      </w:r>
      <w:r w:rsidR="00F139AA">
        <w:t>s to understand rent collection process</w:t>
      </w:r>
    </w:p>
    <w:p w14:paraId="4E8EDFEB" w14:textId="7997A710" w:rsidR="00F139AA" w:rsidRDefault="00F139AA" w:rsidP="009B1BC3">
      <w:pPr>
        <w:pStyle w:val="ListParagraph"/>
        <w:numPr>
          <w:ilvl w:val="0"/>
          <w:numId w:val="4"/>
        </w:numPr>
        <w:spacing w:line="23" w:lineRule="atLeast"/>
        <w:contextualSpacing w:val="0"/>
      </w:pPr>
      <w:r>
        <w:t>Evict</w:t>
      </w:r>
      <w:r w:rsidR="004D1097">
        <w:t>ion</w:t>
      </w:r>
      <w:r>
        <w:t xml:space="preserve"> as an absolute last res</w:t>
      </w:r>
      <w:r w:rsidR="007751CD">
        <w:t>or</w:t>
      </w:r>
      <w:r>
        <w:t xml:space="preserve">t and in accordance with </w:t>
      </w:r>
      <w:proofErr w:type="spellStart"/>
      <w:r>
        <w:t>organi</w:t>
      </w:r>
      <w:r w:rsidR="00C50E08">
        <w:t>s</w:t>
      </w:r>
      <w:r>
        <w:t>ational</w:t>
      </w:r>
      <w:proofErr w:type="spellEnd"/>
      <w:r>
        <w:t xml:space="preserve"> policy and procedures</w:t>
      </w:r>
    </w:p>
    <w:p w14:paraId="53FCBAD9" w14:textId="1D311B1C" w:rsidR="00F139AA" w:rsidRDefault="004D1097" w:rsidP="00693464">
      <w:pPr>
        <w:pStyle w:val="ListParagraph"/>
        <w:numPr>
          <w:ilvl w:val="0"/>
          <w:numId w:val="4"/>
        </w:numPr>
        <w:spacing w:line="23" w:lineRule="atLeast"/>
        <w:contextualSpacing w:val="0"/>
      </w:pPr>
      <w:r>
        <w:t xml:space="preserve">Complying with </w:t>
      </w:r>
      <w:r w:rsidR="00693464">
        <w:t xml:space="preserve">all contractual, </w:t>
      </w:r>
      <w:proofErr w:type="gramStart"/>
      <w:r w:rsidR="00693464">
        <w:t>legal</w:t>
      </w:r>
      <w:proofErr w:type="gramEnd"/>
      <w:r w:rsidR="00693464">
        <w:t xml:space="preserve"> and regulatory obligations.</w:t>
      </w:r>
    </w:p>
    <w:p w14:paraId="2198FBB0" w14:textId="77777777" w:rsidR="003608DD" w:rsidRDefault="003608DD" w:rsidP="009B1BC3">
      <w:pPr>
        <w:pStyle w:val="Heading1"/>
        <w:spacing w:after="120"/>
      </w:pPr>
      <w:r>
        <w:t>RENT PAYMENT</w:t>
      </w:r>
    </w:p>
    <w:p w14:paraId="04FC5526" w14:textId="2CE80B10" w:rsidR="003608DD" w:rsidRPr="00AF16DA" w:rsidRDefault="00C50E08" w:rsidP="009B1BC3">
      <w:pPr>
        <w:spacing w:after="120"/>
      </w:pPr>
      <w:r>
        <w:t>Renters</w:t>
      </w:r>
      <w:r w:rsidR="003608DD" w:rsidRPr="00AF16DA">
        <w:t xml:space="preserve"> will be informed in writing at the time of accepting tenancy, of the amount an</w:t>
      </w:r>
      <w:r w:rsidR="003608DD">
        <w:t>d what is covered by their rent (private use of premises and facilities).</w:t>
      </w:r>
    </w:p>
    <w:p w14:paraId="5F5B4DD9" w14:textId="2110D8CD" w:rsidR="003608DD" w:rsidRDefault="00C50E08" w:rsidP="009B1BC3">
      <w:pPr>
        <w:spacing w:after="120"/>
      </w:pPr>
      <w:r>
        <w:t>If applicable,</w:t>
      </w:r>
      <w:r w:rsidR="00F139AA">
        <w:t xml:space="preserve"> </w:t>
      </w:r>
      <w:r>
        <w:t>renter</w:t>
      </w:r>
      <w:r w:rsidR="003608DD" w:rsidRPr="00AF16DA">
        <w:t>s will be issued with a personalised rent payment book</w:t>
      </w:r>
      <w:r w:rsidR="007751CD">
        <w:t xml:space="preserve"> issued by the organisation’s banker, the ANZ Bank</w:t>
      </w:r>
      <w:r w:rsidR="003608DD" w:rsidRPr="00AF16DA">
        <w:t xml:space="preserve">, identifying each </w:t>
      </w:r>
      <w:r w:rsidR="003961CC">
        <w:t>renter</w:t>
      </w:r>
      <w:r w:rsidR="003608DD" w:rsidRPr="00AF16DA">
        <w:t xml:space="preserve"> by a numbered code system</w:t>
      </w:r>
      <w:r w:rsidR="007751CD">
        <w:t xml:space="preserve"> (Agent Number)</w:t>
      </w:r>
      <w:r w:rsidR="003608DD" w:rsidRPr="00AF16DA">
        <w:t xml:space="preserve">. This enables </w:t>
      </w:r>
      <w:r>
        <w:t>renter</w:t>
      </w:r>
      <w:r w:rsidR="003608DD" w:rsidRPr="00AF16DA">
        <w:t xml:space="preserve">s to pay directly to the organisation’s account at any branch of the ANZ Bank. </w:t>
      </w:r>
    </w:p>
    <w:p w14:paraId="4CC65CC4" w14:textId="77777777" w:rsidR="003608DD" w:rsidRPr="00AF16DA" w:rsidRDefault="003608DD" w:rsidP="009B1BC3">
      <w:pPr>
        <w:spacing w:after="120"/>
      </w:pPr>
      <w:r w:rsidRPr="00AF16DA">
        <w:t>Rent may be paid by one of three methods:</w:t>
      </w:r>
    </w:p>
    <w:p w14:paraId="4BA7D12D" w14:textId="3B93A14C" w:rsidR="00693464" w:rsidRDefault="00693464" w:rsidP="009B1BC3">
      <w:pPr>
        <w:pStyle w:val="ListParagraph"/>
        <w:numPr>
          <w:ilvl w:val="0"/>
          <w:numId w:val="3"/>
        </w:numPr>
        <w:contextualSpacing w:val="0"/>
      </w:pPr>
      <w:r>
        <w:t>Via direct electronic transfer by Centrelink (</w:t>
      </w:r>
      <w:proofErr w:type="spellStart"/>
      <w:r>
        <w:t>Centrepay</w:t>
      </w:r>
      <w:proofErr w:type="spellEnd"/>
      <w:r>
        <w:t>)</w:t>
      </w:r>
    </w:p>
    <w:p w14:paraId="488FAF65" w14:textId="5B61CF52" w:rsidR="00693464" w:rsidRDefault="00693464" w:rsidP="009B1BC3">
      <w:pPr>
        <w:pStyle w:val="ListParagraph"/>
        <w:numPr>
          <w:ilvl w:val="0"/>
          <w:numId w:val="3"/>
        </w:numPr>
        <w:contextualSpacing w:val="0"/>
      </w:pPr>
      <w:r>
        <w:t>Via direct electronic transfer either by a bank or through another agency such as State Trustees</w:t>
      </w:r>
    </w:p>
    <w:p w14:paraId="7D949FD2" w14:textId="7D3D702B" w:rsidR="003608DD" w:rsidRPr="009F2523" w:rsidRDefault="003608DD" w:rsidP="00693464">
      <w:pPr>
        <w:pStyle w:val="ListParagraph"/>
        <w:numPr>
          <w:ilvl w:val="0"/>
          <w:numId w:val="3"/>
        </w:numPr>
        <w:contextualSpacing w:val="0"/>
      </w:pPr>
      <w:r w:rsidRPr="00AF16DA">
        <w:t>via the ANZ Bank deposit book arrangement</w:t>
      </w:r>
      <w:r w:rsidR="00693464">
        <w:t>.</w:t>
      </w:r>
    </w:p>
    <w:p w14:paraId="49C42B15" w14:textId="77777777" w:rsidR="003608DD" w:rsidRDefault="003608DD" w:rsidP="009B1BC3">
      <w:pPr>
        <w:spacing w:after="120"/>
      </w:pPr>
      <w:r w:rsidRPr="00AF16DA">
        <w:lastRenderedPageBreak/>
        <w:t>Rent payments in cash to the office will not be accepted except in</w:t>
      </w:r>
      <w:r w:rsidR="00F139AA">
        <w:t xml:space="preserve"> one-off</w:t>
      </w:r>
      <w:r w:rsidRPr="00AF16DA">
        <w:t xml:space="preserve"> exceptional </w:t>
      </w:r>
      <w:proofErr w:type="gramStart"/>
      <w:r w:rsidRPr="00AF16DA">
        <w:t>circumstances  with</w:t>
      </w:r>
      <w:proofErr w:type="gramEnd"/>
      <w:r w:rsidRPr="00AF16DA">
        <w:t xml:space="preserve"> the permission of the CEO.</w:t>
      </w:r>
    </w:p>
    <w:p w14:paraId="05B59EC6" w14:textId="40383540" w:rsidR="003608DD" w:rsidRDefault="00693464" w:rsidP="009B1BC3">
      <w:pPr>
        <w:spacing w:after="120"/>
      </w:pPr>
      <w:r>
        <w:t>Renters</w:t>
      </w:r>
      <w:r w:rsidR="003608DD" w:rsidRPr="00AF16DA">
        <w:t xml:space="preserve"> must be advised that automatic transfer options are available through banks and Centrelink</w:t>
      </w:r>
      <w:r w:rsidR="00F139AA">
        <w:t xml:space="preserve"> (Centrepay Service)</w:t>
      </w:r>
      <w:r w:rsidR="003608DD" w:rsidRPr="00AF16DA">
        <w:t xml:space="preserve">. They will not in any circumstances, however, be </w:t>
      </w:r>
      <w:r w:rsidR="003608DD" w:rsidRPr="009F2523">
        <w:rPr>
          <w:i/>
        </w:rPr>
        <w:t>required</w:t>
      </w:r>
      <w:r w:rsidR="003608DD" w:rsidRPr="00AF16DA">
        <w:t xml:space="preserve"> to utilise these options if they prefer not to, nor will this be made a condition of tenancy.</w:t>
      </w:r>
    </w:p>
    <w:p w14:paraId="41E05425" w14:textId="3B176052" w:rsidR="003608DD" w:rsidRDefault="003608DD" w:rsidP="007145D8">
      <w:pPr>
        <w:pStyle w:val="BodyText"/>
        <w:spacing w:after="120"/>
      </w:pPr>
      <w:r w:rsidRPr="00AF16DA">
        <w:rPr>
          <w:rFonts w:ascii="Calibri" w:hAnsi="Calibri"/>
        </w:rPr>
        <w:t>In accordance with the organisation’s philosophy of providing housing to people on low incomes</w:t>
      </w:r>
      <w:r w:rsidR="00F139AA">
        <w:rPr>
          <w:rFonts w:ascii="Calibri" w:hAnsi="Calibri"/>
        </w:rPr>
        <w:t xml:space="preserve"> and people coming from situation of personal housing crisis</w:t>
      </w:r>
      <w:r w:rsidRPr="00AF16DA">
        <w:rPr>
          <w:rFonts w:ascii="Calibri" w:hAnsi="Calibri"/>
        </w:rPr>
        <w:t>, no bond will be charged on the grounds that this extra financial burden would present a barrier to access</w:t>
      </w:r>
      <w:r w:rsidR="00F139AA">
        <w:rPr>
          <w:rFonts w:ascii="Calibri" w:hAnsi="Calibri"/>
        </w:rPr>
        <w:t>.</w:t>
      </w:r>
    </w:p>
    <w:p w14:paraId="5608D5B9" w14:textId="77777777" w:rsidR="003608DD" w:rsidRDefault="003608DD" w:rsidP="009B1BC3">
      <w:pPr>
        <w:pStyle w:val="Heading2"/>
        <w:spacing w:after="120"/>
      </w:pPr>
      <w:r>
        <w:t>RENT RECEIPTS</w:t>
      </w:r>
    </w:p>
    <w:p w14:paraId="2BFC0295" w14:textId="41EBB0F5" w:rsidR="003608DD" w:rsidRDefault="003608DD" w:rsidP="009B1BC3">
      <w:pPr>
        <w:spacing w:after="120"/>
      </w:pPr>
      <w:r w:rsidRPr="00AF16DA">
        <w:t xml:space="preserve">The butt in the rent payment book, stamped by the bank, enables </w:t>
      </w:r>
      <w:r w:rsidR="007145D8">
        <w:t>renter</w:t>
      </w:r>
      <w:r w:rsidRPr="00AF16DA">
        <w:t xml:space="preserve">s </w:t>
      </w:r>
      <w:r>
        <w:t xml:space="preserve">who pay this way </w:t>
      </w:r>
      <w:r w:rsidRPr="00AF16DA">
        <w:t xml:space="preserve">to keep track of their rent payments. </w:t>
      </w:r>
      <w:r>
        <w:t xml:space="preserve">If, however, </w:t>
      </w:r>
      <w:r w:rsidR="003961CC">
        <w:t>renter</w:t>
      </w:r>
      <w:r>
        <w:t>s pay rent by direct bank transfer or by Centrepay they do not get a receipt automatically.</w:t>
      </w:r>
    </w:p>
    <w:p w14:paraId="7DFBE8F0" w14:textId="6F8A9531" w:rsidR="003608DD" w:rsidRPr="00CB3ADD" w:rsidRDefault="007145D8" w:rsidP="009B1BC3">
      <w:pPr>
        <w:spacing w:after="120"/>
        <w:rPr>
          <w:color w:val="C0504D"/>
          <w:sz w:val="24"/>
          <w:szCs w:val="24"/>
        </w:rPr>
      </w:pPr>
      <w:r>
        <w:t>Renters</w:t>
      </w:r>
      <w:r w:rsidR="003608DD">
        <w:t xml:space="preserve"> will be made aware at intake that they have a right to request a receipt</w:t>
      </w:r>
      <w:r w:rsidR="00F139AA">
        <w:t xml:space="preserve"> or rent statement</w:t>
      </w:r>
      <w:r w:rsidR="003608DD">
        <w:t xml:space="preserve">. If a </w:t>
      </w:r>
      <w:r>
        <w:t>renter</w:t>
      </w:r>
      <w:r w:rsidR="003608DD">
        <w:t xml:space="preserve"> </w:t>
      </w:r>
      <w:r w:rsidR="00F139AA">
        <w:t>requires</w:t>
      </w:r>
      <w:r w:rsidR="003608DD" w:rsidRPr="00AF16DA">
        <w:t xml:space="preserve"> a detailed receipt which indicates the </w:t>
      </w:r>
      <w:proofErr w:type="gramStart"/>
      <w:r w:rsidR="003608DD" w:rsidRPr="00AF16DA">
        <w:t>time period</w:t>
      </w:r>
      <w:proofErr w:type="gramEnd"/>
      <w:r w:rsidR="003608DD" w:rsidRPr="00AF16DA">
        <w:t xml:space="preserve"> covered by the rent paid on a particular date, this will be issued upon request.</w:t>
      </w:r>
    </w:p>
    <w:p w14:paraId="44244516" w14:textId="77777777" w:rsidR="003608DD" w:rsidRDefault="003608DD" w:rsidP="009B1BC3">
      <w:pPr>
        <w:pStyle w:val="Heading2"/>
        <w:spacing w:after="120"/>
      </w:pPr>
      <w:r>
        <w:t>RENT IN ADVANCE</w:t>
      </w:r>
    </w:p>
    <w:p w14:paraId="3E7B273F" w14:textId="328A764F" w:rsidR="00401742" w:rsidRDefault="003608DD" w:rsidP="009B1BC3">
      <w:pPr>
        <w:spacing w:after="120"/>
      </w:pPr>
      <w:r w:rsidRPr="00AF16DA">
        <w:t>A minimum one week’s rent in advance, is required</w:t>
      </w:r>
      <w:r w:rsidR="00401742">
        <w:t xml:space="preserve"> prior to allowing a person to take occupancy</w:t>
      </w:r>
      <w:r w:rsidRPr="00AF16DA">
        <w:t xml:space="preserve"> </w:t>
      </w:r>
    </w:p>
    <w:p w14:paraId="159D75F4" w14:textId="77777777" w:rsidR="003608DD" w:rsidRPr="00AF16DA" w:rsidRDefault="003608DD" w:rsidP="009B1BC3">
      <w:pPr>
        <w:spacing w:after="120"/>
      </w:pPr>
      <w:r w:rsidRPr="00AF16DA">
        <w:t xml:space="preserve">Rent is required to be </w:t>
      </w:r>
      <w:proofErr w:type="gramStart"/>
      <w:r w:rsidRPr="00AF16DA">
        <w:t>kept one week in advance at all times</w:t>
      </w:r>
      <w:proofErr w:type="gramEnd"/>
      <w:r w:rsidRPr="00AF16DA">
        <w:t>. If rent is not kept one week in advance, the CEO is authori</w:t>
      </w:r>
      <w:r>
        <w:t>sed to negotiate a payment agreement</w:t>
      </w:r>
      <w:r w:rsidRPr="00AF16DA">
        <w:t xml:space="preserve"> if there are exceptional circumstances. </w:t>
      </w:r>
      <w:r w:rsidR="00401742">
        <w:t xml:space="preserve">This document outlines the delegation to Housing Workers in relation to negotiating rent repayment agreements. </w:t>
      </w:r>
    </w:p>
    <w:p w14:paraId="50F98B96" w14:textId="1B921242" w:rsidR="003608DD" w:rsidRDefault="003608DD" w:rsidP="009B1BC3">
      <w:pPr>
        <w:spacing w:after="120"/>
      </w:pPr>
      <w:r w:rsidRPr="00AF16DA">
        <w:t xml:space="preserve">If a prospective </w:t>
      </w:r>
      <w:r w:rsidR="007145D8">
        <w:t>renter</w:t>
      </w:r>
      <w:r w:rsidRPr="00AF16DA">
        <w:t xml:space="preserve"> has no money and no income at the time of being offered a tenancy, the matter should be referred to the CEO who may waive the “rent in advance” rule in special circumstances, subject to the person being referred for assistance in obtaining an income and an agreement about later payment being accepted.</w:t>
      </w:r>
      <w:r w:rsidR="00401742">
        <w:t xml:space="preserve"> This may only happen when the housing worker sees evidence that the applicant can realistically obtain an income within two weeks. Approval from the CEO is still required. </w:t>
      </w:r>
    </w:p>
    <w:p w14:paraId="106CC8D8" w14:textId="77777777" w:rsidR="003608DD" w:rsidRDefault="003608DD" w:rsidP="009B1BC3">
      <w:pPr>
        <w:pStyle w:val="Heading2"/>
        <w:spacing w:after="120"/>
      </w:pPr>
      <w:r>
        <w:t xml:space="preserve">RENT ADJUSTMENTS FOR </w:t>
      </w:r>
      <w:proofErr w:type="gramStart"/>
      <w:r>
        <w:t>NON OCCUPATION</w:t>
      </w:r>
      <w:proofErr w:type="gramEnd"/>
    </w:p>
    <w:p w14:paraId="3861C7A8" w14:textId="36C68215" w:rsidR="003608DD" w:rsidRDefault="003608DD" w:rsidP="009B1BC3">
      <w:pPr>
        <w:spacing w:after="120"/>
      </w:pPr>
      <w:r w:rsidRPr="00BB48C1">
        <w:t xml:space="preserve">In most circumstances, rent is charged regardless of </w:t>
      </w:r>
      <w:proofErr w:type="gramStart"/>
      <w:r w:rsidRPr="00BB48C1">
        <w:t>whether or not</w:t>
      </w:r>
      <w:proofErr w:type="gramEnd"/>
      <w:r w:rsidRPr="00BB48C1">
        <w:t xml:space="preserve"> the </w:t>
      </w:r>
      <w:r w:rsidR="003961CC">
        <w:t>renter</w:t>
      </w:r>
      <w:r w:rsidRPr="00BB48C1">
        <w:t xml:space="preserve"> is occupying their </w:t>
      </w:r>
      <w:r w:rsidR="00F139AA">
        <w:t>premises</w:t>
      </w:r>
      <w:r w:rsidRPr="00BB48C1">
        <w:t xml:space="preserve"> at a particular time. </w:t>
      </w:r>
    </w:p>
    <w:p w14:paraId="1A3552EC" w14:textId="07FD0669" w:rsidR="003608DD" w:rsidRDefault="003608DD" w:rsidP="009B1BC3">
      <w:pPr>
        <w:spacing w:after="120"/>
      </w:pPr>
      <w:r w:rsidRPr="00091A8F">
        <w:t>However,</w:t>
      </w:r>
      <w:r w:rsidR="00F139AA">
        <w:t xml:space="preserve"> for premises where rent includes electricity, gas &amp; water, </w:t>
      </w:r>
      <w:r w:rsidRPr="00091A8F">
        <w:t xml:space="preserve">a </w:t>
      </w:r>
      <w:r w:rsidR="003961CC">
        <w:t xml:space="preserve">renter </w:t>
      </w:r>
      <w:r w:rsidRPr="00091A8F">
        <w:t>may apply for reduced re</w:t>
      </w:r>
      <w:r w:rsidR="00F139AA">
        <w:t>nt when they are</w:t>
      </w:r>
      <w:r w:rsidRPr="00091A8F">
        <w:t xml:space="preserve"> not staying in their rented premises for a period </w:t>
      </w:r>
      <w:proofErr w:type="gramStart"/>
      <w:r w:rsidRPr="00091A8F">
        <w:t>in excess of</w:t>
      </w:r>
      <w:proofErr w:type="gramEnd"/>
      <w:r w:rsidRPr="00091A8F">
        <w:t xml:space="preserve"> two weeks for the reason of hospitalisation</w:t>
      </w:r>
      <w:r w:rsidR="00F139AA">
        <w:t>, incarceration,</w:t>
      </w:r>
      <w:r w:rsidRPr="00091A8F">
        <w:t xml:space="preserve"> or caring for a relative who is ill. </w:t>
      </w:r>
    </w:p>
    <w:p w14:paraId="3F5E426F" w14:textId="360C546C" w:rsidR="003608DD" w:rsidRDefault="003608DD" w:rsidP="009B1BC3">
      <w:pPr>
        <w:spacing w:after="120"/>
      </w:pPr>
      <w:r w:rsidRPr="00091A8F">
        <w:t xml:space="preserve">All </w:t>
      </w:r>
      <w:r w:rsidR="009B7349">
        <w:t>renters</w:t>
      </w:r>
      <w:r w:rsidRPr="00091A8F">
        <w:t xml:space="preserve"> will be </w:t>
      </w:r>
      <w:r w:rsidR="00F139AA">
        <w:t>informed about this policy.</w:t>
      </w:r>
      <w:r>
        <w:t xml:space="preserve"> </w:t>
      </w:r>
      <w:r w:rsidRPr="00091A8F">
        <w:t>Cases will be considered by the CEO or delegate on a case-by-case basis subject to provision of documented evidence.</w:t>
      </w:r>
      <w:r>
        <w:t xml:space="preserve"> </w:t>
      </w:r>
      <w:r w:rsidRPr="00091A8F">
        <w:t xml:space="preserve">The rent discount will be </w:t>
      </w:r>
      <w:proofErr w:type="gramStart"/>
      <w:r w:rsidRPr="00091A8F">
        <w:t>back-paid</w:t>
      </w:r>
      <w:proofErr w:type="gramEnd"/>
      <w:r w:rsidRPr="00091A8F">
        <w:t xml:space="preserve"> by crediting to the </w:t>
      </w:r>
      <w:r w:rsidR="009B7349">
        <w:t>renter</w:t>
      </w:r>
      <w:r w:rsidRPr="00091A8F">
        <w:t>’s rent account</w:t>
      </w:r>
      <w:r>
        <w:t xml:space="preserve">. </w:t>
      </w:r>
    </w:p>
    <w:p w14:paraId="1E276FCC" w14:textId="77777777" w:rsidR="003608DD" w:rsidRDefault="00FB4EDF" w:rsidP="009B1BC3">
      <w:pPr>
        <w:pStyle w:val="Heading1"/>
        <w:spacing w:after="120"/>
      </w:pPr>
      <w:r>
        <w:t xml:space="preserve">MANAGING </w:t>
      </w:r>
      <w:r w:rsidR="003608DD">
        <w:t>RENT ARREARS</w:t>
      </w:r>
    </w:p>
    <w:p w14:paraId="69F8A5EC" w14:textId="77777777" w:rsidR="003608DD" w:rsidRDefault="003608DD" w:rsidP="009B1BC3">
      <w:pPr>
        <w:pStyle w:val="Heading2"/>
        <w:spacing w:after="120"/>
      </w:pPr>
      <w:r>
        <w:t xml:space="preserve">RENT PURSUED </w:t>
      </w:r>
      <w:r w:rsidR="00401742">
        <w:t>CON</w:t>
      </w:r>
      <w:r>
        <w:t xml:space="preserve">SISTENTLY </w:t>
      </w:r>
    </w:p>
    <w:p w14:paraId="250CC607" w14:textId="77777777" w:rsidR="009B7349" w:rsidRDefault="00401742" w:rsidP="009B7349">
      <w:pPr>
        <w:spacing w:after="120"/>
      </w:pPr>
      <w:r>
        <w:t xml:space="preserve">Rent arrears reports must be generated, </w:t>
      </w:r>
      <w:proofErr w:type="gramStart"/>
      <w:r>
        <w:t>examined</w:t>
      </w:r>
      <w:proofErr w:type="gramEnd"/>
      <w:r>
        <w:t xml:space="preserve"> and acted upon weekly</w:t>
      </w:r>
      <w:r w:rsidR="00FB4EDF">
        <w:t xml:space="preserve"> by the Housing Program.</w:t>
      </w:r>
    </w:p>
    <w:p w14:paraId="3A235795" w14:textId="6A5842B3" w:rsidR="009B7349" w:rsidRDefault="00FB4EDF" w:rsidP="009B7349">
      <w:pPr>
        <w:spacing w:after="120"/>
      </w:pPr>
      <w:r>
        <w:t xml:space="preserve">The CEO will communicate with the Housing Program from time to time to set a KPI for total rent arrears as a ratio of total rent collected. </w:t>
      </w:r>
    </w:p>
    <w:p w14:paraId="058AB930" w14:textId="3AD9A117" w:rsidR="003608DD" w:rsidRDefault="003608DD" w:rsidP="009B7349">
      <w:pPr>
        <w:pStyle w:val="Heading2"/>
      </w:pPr>
      <w:r>
        <w:lastRenderedPageBreak/>
        <w:t>RENT ARREARS MONITORING AND RECORDS</w:t>
      </w:r>
    </w:p>
    <w:p w14:paraId="35EF2AA0" w14:textId="77777777" w:rsidR="003608DD" w:rsidRDefault="00F139AA" w:rsidP="009B1BC3">
      <w:pPr>
        <w:spacing w:after="120"/>
      </w:pPr>
      <w:r>
        <w:t xml:space="preserve">Rent payments are uploaded weekly from ANZ bank &amp; Centrelink. </w:t>
      </w:r>
      <w:r w:rsidR="003608DD" w:rsidRPr="00AF16DA">
        <w:t xml:space="preserve">Rent arrears </w:t>
      </w:r>
      <w:r>
        <w:t>are</w:t>
      </w:r>
      <w:r w:rsidR="003608DD">
        <w:t xml:space="preserve"> monitored weekly using the CHINTARO </w:t>
      </w:r>
      <w:r w:rsidR="00FB4EDF">
        <w:t xml:space="preserve">community housing management </w:t>
      </w:r>
      <w:r w:rsidR="003608DD">
        <w:t>program</w:t>
      </w:r>
      <w:r w:rsidR="003608DD" w:rsidRPr="00AF16DA">
        <w:t xml:space="preserve">. </w:t>
      </w:r>
    </w:p>
    <w:p w14:paraId="334311D6" w14:textId="77777777" w:rsidR="00F139AA" w:rsidRDefault="00F139AA" w:rsidP="009B1BC3">
      <w:pPr>
        <w:spacing w:after="120"/>
      </w:pPr>
      <w:r>
        <w:t>Rent Arrears R</w:t>
      </w:r>
      <w:r w:rsidR="003608DD" w:rsidRPr="00AF16DA">
        <w:t xml:space="preserve">eports are created by the </w:t>
      </w:r>
      <w:r w:rsidR="00242A32">
        <w:t xml:space="preserve">Manager of Housing Operations (MHO) </w:t>
      </w:r>
      <w:r>
        <w:t>on a weekly basis.</w:t>
      </w:r>
    </w:p>
    <w:p w14:paraId="2F100181" w14:textId="40B27B86" w:rsidR="00F139AA" w:rsidRDefault="003608DD" w:rsidP="009B1BC3">
      <w:pPr>
        <w:spacing w:after="120"/>
      </w:pPr>
      <w:r>
        <w:t xml:space="preserve">The </w:t>
      </w:r>
      <w:r w:rsidR="00242A32">
        <w:t xml:space="preserve">MHO is </w:t>
      </w:r>
      <w:r>
        <w:t xml:space="preserve">responsible for </w:t>
      </w:r>
      <w:r w:rsidR="00242A32">
        <w:t xml:space="preserve">the </w:t>
      </w:r>
      <w:r>
        <w:t xml:space="preserve">overview of the rent arrears situation. The </w:t>
      </w:r>
      <w:r w:rsidR="00242A32">
        <w:t>MHO is</w:t>
      </w:r>
      <w:r>
        <w:t xml:space="preserve"> responsible for ensuring that rent arrears are</w:t>
      </w:r>
      <w:r w:rsidRPr="00AF16DA">
        <w:t xml:space="preserve"> m</w:t>
      </w:r>
      <w:r>
        <w:t>onitored at weekly Housing</w:t>
      </w:r>
      <w:r w:rsidRPr="00AF16DA">
        <w:t xml:space="preserve"> Program meetings</w:t>
      </w:r>
      <w:r w:rsidR="00FB4EDF">
        <w:t xml:space="preserve">, that the situation of all </w:t>
      </w:r>
      <w:r w:rsidR="009B7349">
        <w:t>renter</w:t>
      </w:r>
      <w:r w:rsidR="00FB4EDF">
        <w:t>s in rent arrears is examined,</w:t>
      </w:r>
      <w:r w:rsidR="009B1BC3">
        <w:t xml:space="preserve"> </w:t>
      </w:r>
      <w:r>
        <w:t>and that a course of action is agreed upon</w:t>
      </w:r>
      <w:r w:rsidRPr="00AF16DA">
        <w:t>.</w:t>
      </w:r>
      <w:r>
        <w:t xml:space="preserve"> </w:t>
      </w:r>
      <w:r w:rsidRPr="00AF16DA">
        <w:t xml:space="preserve">Following up with </w:t>
      </w:r>
      <w:r>
        <w:t xml:space="preserve">individual </w:t>
      </w:r>
      <w:r w:rsidR="009B7349">
        <w:t>renter</w:t>
      </w:r>
      <w:r w:rsidRPr="00AF16DA">
        <w:t>s regarding rent arrears is the res</w:t>
      </w:r>
      <w:r>
        <w:t>ponsibility of the Housing</w:t>
      </w:r>
      <w:r w:rsidRPr="00AF16DA">
        <w:t xml:space="preserve"> Workers</w:t>
      </w:r>
      <w:r>
        <w:t xml:space="preserve"> and the </w:t>
      </w:r>
      <w:r w:rsidR="00242A32">
        <w:t>MHO.</w:t>
      </w:r>
      <w:r w:rsidR="00F139AA">
        <w:t xml:space="preserve"> The process is outlined in Sections 6.4 and 6.5. </w:t>
      </w:r>
    </w:p>
    <w:p w14:paraId="141685A3" w14:textId="77777777" w:rsidR="003608DD" w:rsidRDefault="003608DD" w:rsidP="009B7349">
      <w:pPr>
        <w:pStyle w:val="Heading2"/>
      </w:pPr>
      <w:r>
        <w:t>RENT ARREARS</w:t>
      </w:r>
      <w:r w:rsidR="00F139AA">
        <w:t xml:space="preserve"> REPAYMENT</w:t>
      </w:r>
      <w:r>
        <w:t xml:space="preserve"> AGREEMENTS</w:t>
      </w:r>
    </w:p>
    <w:p w14:paraId="3F11748A" w14:textId="2686F888" w:rsidR="003608DD" w:rsidRDefault="009B7349" w:rsidP="009B1BC3">
      <w:pPr>
        <w:spacing w:after="120"/>
      </w:pPr>
      <w:r>
        <w:t>Renter</w:t>
      </w:r>
      <w:r w:rsidR="003608DD" w:rsidRPr="00AF16DA">
        <w:t>s will be given the opportunity to repay rent arrears over time subject to</w:t>
      </w:r>
      <w:r w:rsidR="00FB4EDF">
        <w:t xml:space="preserve"> the</w:t>
      </w:r>
      <w:r w:rsidR="003608DD" w:rsidRPr="00AF16DA">
        <w:t xml:space="preserve"> guideli</w:t>
      </w:r>
      <w:r w:rsidR="003608DD">
        <w:t>nes</w:t>
      </w:r>
      <w:r w:rsidR="00FB4EDF">
        <w:t xml:space="preserve"> described in this policy</w:t>
      </w:r>
      <w:r w:rsidR="003608DD">
        <w:t xml:space="preserve">. </w:t>
      </w:r>
    </w:p>
    <w:p w14:paraId="1BB0A010" w14:textId="2D2C1113" w:rsidR="003608DD" w:rsidRDefault="00FB4EDF" w:rsidP="009B1BC3">
      <w:pPr>
        <w:spacing w:after="120"/>
      </w:pPr>
      <w:r>
        <w:t>In negotiating agreements s</w:t>
      </w:r>
      <w:r w:rsidR="003608DD">
        <w:t>taff must utili</w:t>
      </w:r>
      <w:r w:rsidR="009B7349">
        <w:t>s</w:t>
      </w:r>
      <w:r w:rsidR="003608DD">
        <w:t>e the</w:t>
      </w:r>
      <w:r w:rsidR="003608DD" w:rsidRPr="00AF16DA">
        <w:t xml:space="preserve"> </w:t>
      </w:r>
      <w:r w:rsidR="003608DD" w:rsidRPr="00F76AE7">
        <w:rPr>
          <w:b/>
          <w:i/>
        </w:rPr>
        <w:t>Arrears Repayment Schedule</w:t>
      </w:r>
      <w:r w:rsidR="003608DD" w:rsidRPr="00AF16DA">
        <w:t xml:space="preserve">. The Schedule </w:t>
      </w:r>
      <w:r>
        <w:t>sets acceptable weekly repayment amounts based on a scale of rent arrears amounts</w:t>
      </w:r>
      <w:r w:rsidR="00771032">
        <w:t xml:space="preserve"> </w:t>
      </w:r>
      <w:r>
        <w:t xml:space="preserve">and </w:t>
      </w:r>
      <w:r w:rsidR="003608DD" w:rsidRPr="00AF16DA">
        <w:t>will be reviewed by the CEO annually following any rent increase.</w:t>
      </w:r>
    </w:p>
    <w:p w14:paraId="61F935B1" w14:textId="697C09C8" w:rsidR="003608DD" w:rsidRDefault="003608DD">
      <w:pPr>
        <w:pStyle w:val="BodyText"/>
        <w:spacing w:after="120"/>
        <w:rPr>
          <w:rFonts w:ascii="Calibri" w:hAnsi="Calibri"/>
        </w:rPr>
      </w:pPr>
      <w:r>
        <w:rPr>
          <w:rFonts w:ascii="Calibri" w:hAnsi="Calibri"/>
        </w:rPr>
        <w:t xml:space="preserve">Repayment </w:t>
      </w:r>
      <w:r w:rsidRPr="000C1324">
        <w:rPr>
          <w:rFonts w:ascii="Calibri" w:hAnsi="Calibri"/>
        </w:rPr>
        <w:t xml:space="preserve">Agreements must be in writing and signed by both </w:t>
      </w:r>
      <w:r w:rsidR="009B7349">
        <w:rPr>
          <w:rFonts w:ascii="Calibri" w:hAnsi="Calibri"/>
        </w:rPr>
        <w:t>renter</w:t>
      </w:r>
      <w:r w:rsidRPr="000C1324">
        <w:rPr>
          <w:rFonts w:ascii="Calibri" w:hAnsi="Calibri"/>
        </w:rPr>
        <w:t xml:space="preserve"> and worker.</w:t>
      </w:r>
    </w:p>
    <w:p w14:paraId="308DA3C3" w14:textId="77777777" w:rsidR="003608DD" w:rsidRPr="00F76AE7" w:rsidRDefault="003608DD">
      <w:pPr>
        <w:pStyle w:val="BodyText"/>
        <w:spacing w:after="120"/>
        <w:rPr>
          <w:rFonts w:ascii="Calibri" w:hAnsi="Calibri"/>
        </w:rPr>
      </w:pPr>
      <w:r w:rsidRPr="000C1324">
        <w:rPr>
          <w:rFonts w:ascii="Calibri" w:hAnsi="Calibri"/>
        </w:rPr>
        <w:t>Entering into a repayment agreement will not limit the organisation’s right to apply to the</w:t>
      </w:r>
      <w:r>
        <w:rPr>
          <w:rFonts w:ascii="Calibri" w:hAnsi="Calibri"/>
        </w:rPr>
        <w:t xml:space="preserve"> Victorian Civil and Administrative</w:t>
      </w:r>
      <w:r w:rsidRPr="000C1324">
        <w:rPr>
          <w:rFonts w:ascii="Calibri" w:hAnsi="Calibri"/>
        </w:rPr>
        <w:t xml:space="preserve"> Tribunal </w:t>
      </w:r>
      <w:r>
        <w:rPr>
          <w:rFonts w:ascii="Calibri" w:hAnsi="Calibri"/>
        </w:rPr>
        <w:t>(VCAT) for a Compliance or Possession Order.</w:t>
      </w:r>
    </w:p>
    <w:p w14:paraId="44D04F39" w14:textId="77777777" w:rsidR="003608DD" w:rsidRDefault="003608DD" w:rsidP="009B1BC3">
      <w:pPr>
        <w:pStyle w:val="Heading2"/>
        <w:spacing w:after="120"/>
      </w:pPr>
      <w:r>
        <w:t>NEW ARREARS</w:t>
      </w:r>
    </w:p>
    <w:p w14:paraId="067C2051" w14:textId="689872AD" w:rsidR="003608DD" w:rsidRDefault="009B7349" w:rsidP="009B1BC3">
      <w:pPr>
        <w:pStyle w:val="BodyText"/>
        <w:spacing w:after="120"/>
        <w:rPr>
          <w:rFonts w:ascii="Calibri" w:hAnsi="Calibri"/>
        </w:rPr>
      </w:pPr>
      <w:r>
        <w:rPr>
          <w:rFonts w:ascii="Calibri" w:hAnsi="Calibri"/>
        </w:rPr>
        <w:t>Renter</w:t>
      </w:r>
      <w:r w:rsidR="003608DD" w:rsidRPr="00091A8F">
        <w:rPr>
          <w:rFonts w:ascii="Calibri" w:hAnsi="Calibri"/>
        </w:rPr>
        <w:t>s who have not previously made an agreement regarding the repayment of rent arrears: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86"/>
      </w:tblGrid>
      <w:tr w:rsidR="00771032" w14:paraId="08C65E03" w14:textId="77777777" w:rsidTr="003961CC">
        <w:tc>
          <w:tcPr>
            <w:tcW w:w="2830" w:type="dxa"/>
          </w:tcPr>
          <w:p w14:paraId="46EDFEEC" w14:textId="2C575699" w:rsidR="00771032" w:rsidRDefault="00771032" w:rsidP="009B1BC3">
            <w:pPr>
              <w:pStyle w:val="BodyText"/>
              <w:spacing w:after="120"/>
              <w:rPr>
                <w:rFonts w:ascii="Calibri" w:hAnsi="Calibri"/>
              </w:rPr>
            </w:pPr>
            <w:r w:rsidRPr="00091A8F">
              <w:rPr>
                <w:rFonts w:ascii="Calibri" w:hAnsi="Calibri"/>
              </w:rPr>
              <w:t>1 week’s arrears-</w:t>
            </w:r>
            <w:r w:rsidRPr="00091A8F">
              <w:rPr>
                <w:rFonts w:ascii="Calibri" w:hAnsi="Calibri"/>
              </w:rPr>
              <w:tab/>
            </w:r>
          </w:p>
        </w:tc>
        <w:tc>
          <w:tcPr>
            <w:tcW w:w="6186" w:type="dxa"/>
          </w:tcPr>
          <w:p w14:paraId="1EDDB3FE" w14:textId="77777777" w:rsidR="00771032" w:rsidRDefault="00771032" w:rsidP="009B1BC3">
            <w:pPr>
              <w:pStyle w:val="BodyText"/>
              <w:spacing w:after="120"/>
              <w:rPr>
                <w:rFonts w:ascii="Calibri" w:hAnsi="Calibri"/>
              </w:rPr>
            </w:pPr>
            <w:r w:rsidRPr="00F76AE7">
              <w:rPr>
                <w:rFonts w:ascii="Calibri" w:hAnsi="Calibri"/>
                <w:b/>
                <w:i/>
              </w:rPr>
              <w:t>Letter 1</w:t>
            </w:r>
            <w:r w:rsidRPr="00091A8F">
              <w:rPr>
                <w:rFonts w:ascii="Calibri" w:hAnsi="Calibri"/>
              </w:rPr>
              <w:t xml:space="preserve"> (requesting catch-up or contact office)</w:t>
            </w:r>
          </w:p>
          <w:p w14:paraId="28E9F15F" w14:textId="77777777" w:rsidR="00771032" w:rsidRDefault="00771032" w:rsidP="009B1BC3">
            <w:pPr>
              <w:pStyle w:val="BodyText"/>
              <w:spacing w:after="120"/>
              <w:rPr>
                <w:rFonts w:ascii="Calibri" w:hAnsi="Calibri"/>
              </w:rPr>
            </w:pPr>
            <w:r w:rsidRPr="00771032">
              <w:rPr>
                <w:rFonts w:ascii="Calibri" w:hAnsi="Calibri"/>
              </w:rPr>
              <w:t>If rent caught up, no action.</w:t>
            </w:r>
          </w:p>
          <w:p w14:paraId="692EBC95" w14:textId="77777777" w:rsidR="00771032" w:rsidRDefault="00771032" w:rsidP="009B1BC3">
            <w:pPr>
              <w:pStyle w:val="BodyText"/>
              <w:spacing w:after="120"/>
              <w:rPr>
                <w:rFonts w:ascii="Calibri" w:hAnsi="Calibri"/>
              </w:rPr>
            </w:pPr>
            <w:r w:rsidRPr="00771032">
              <w:rPr>
                <w:rFonts w:ascii="Calibri" w:hAnsi="Calibri"/>
              </w:rPr>
              <w:t>If unable to catch up arrears immediately, negotiate Repayment Agreement</w:t>
            </w:r>
            <w:r w:rsidR="003961CC">
              <w:rPr>
                <w:rFonts w:ascii="Calibri" w:hAnsi="Calibri"/>
              </w:rPr>
              <w:t>.</w:t>
            </w:r>
          </w:p>
          <w:p w14:paraId="33596D64" w14:textId="699DE388" w:rsidR="003961CC" w:rsidRDefault="003961CC" w:rsidP="009B1BC3">
            <w:pPr>
              <w:pStyle w:val="BodyText"/>
              <w:spacing w:after="120"/>
              <w:rPr>
                <w:rFonts w:ascii="Calibri" w:hAnsi="Calibri"/>
              </w:rPr>
            </w:pPr>
          </w:p>
        </w:tc>
      </w:tr>
      <w:tr w:rsidR="00771032" w14:paraId="3A144102" w14:textId="77777777" w:rsidTr="003961CC">
        <w:tc>
          <w:tcPr>
            <w:tcW w:w="2830" w:type="dxa"/>
          </w:tcPr>
          <w:p w14:paraId="3D1153E9" w14:textId="00C71725" w:rsidR="00771032" w:rsidRDefault="00771032" w:rsidP="009B1BC3">
            <w:pPr>
              <w:pStyle w:val="BodyText"/>
              <w:spacing w:after="120"/>
              <w:rPr>
                <w:rFonts w:ascii="Calibri" w:hAnsi="Calibri"/>
              </w:rPr>
            </w:pPr>
            <w:r>
              <w:rPr>
                <w:rFonts w:ascii="Calibri" w:hAnsi="Calibri"/>
              </w:rPr>
              <w:t>2 week</w:t>
            </w:r>
            <w:r w:rsidR="003961CC">
              <w:rPr>
                <w:rFonts w:ascii="Calibri" w:hAnsi="Calibri"/>
              </w:rPr>
              <w:t>’</w:t>
            </w:r>
            <w:r>
              <w:rPr>
                <w:rFonts w:ascii="Calibri" w:hAnsi="Calibri"/>
              </w:rPr>
              <w:t>s arrears</w:t>
            </w:r>
          </w:p>
        </w:tc>
        <w:tc>
          <w:tcPr>
            <w:tcW w:w="6186" w:type="dxa"/>
          </w:tcPr>
          <w:p w14:paraId="174143E2" w14:textId="77777777" w:rsidR="00771032" w:rsidRDefault="00771032" w:rsidP="009B1BC3">
            <w:pPr>
              <w:pStyle w:val="BodyText"/>
              <w:spacing w:after="120"/>
              <w:rPr>
                <w:rFonts w:ascii="Calibri" w:hAnsi="Calibri"/>
              </w:rPr>
            </w:pPr>
            <w:r w:rsidRPr="00091A8F">
              <w:rPr>
                <w:rFonts w:ascii="Calibri" w:hAnsi="Calibri"/>
              </w:rPr>
              <w:t xml:space="preserve">If no response, issue </w:t>
            </w:r>
            <w:r w:rsidRPr="009B1BC3">
              <w:rPr>
                <w:rFonts w:ascii="Calibri" w:hAnsi="Calibri"/>
                <w:b/>
                <w:i/>
              </w:rPr>
              <w:t>Letter 2</w:t>
            </w:r>
            <w:r>
              <w:rPr>
                <w:rFonts w:ascii="Calibri" w:hAnsi="Calibri"/>
              </w:rPr>
              <w:t xml:space="preserve"> and a Breach of Duty for failure to pay rent and a </w:t>
            </w:r>
            <w:r w:rsidRPr="00091A8F">
              <w:rPr>
                <w:rFonts w:ascii="Calibri" w:hAnsi="Calibri"/>
              </w:rPr>
              <w:t>Notice to Vacate</w:t>
            </w:r>
            <w:r>
              <w:rPr>
                <w:rFonts w:ascii="Calibri" w:hAnsi="Calibri"/>
              </w:rPr>
              <w:t xml:space="preserve">. </w:t>
            </w:r>
            <w:r w:rsidRPr="009B1BC3">
              <w:rPr>
                <w:rFonts w:ascii="Calibri" w:hAnsi="Calibri"/>
                <w:b/>
                <w:i/>
              </w:rPr>
              <w:t>Letter 2</w:t>
            </w:r>
            <w:r>
              <w:rPr>
                <w:rFonts w:ascii="Calibri" w:hAnsi="Calibri"/>
              </w:rPr>
              <w:t xml:space="preserve"> also explains what renters need to know about a VCAT process. </w:t>
            </w:r>
          </w:p>
          <w:p w14:paraId="0F0D1841" w14:textId="77777777" w:rsidR="00771032" w:rsidRDefault="00771032" w:rsidP="009B1BC3">
            <w:pPr>
              <w:pStyle w:val="BodyText"/>
              <w:spacing w:after="120"/>
              <w:rPr>
                <w:rFonts w:ascii="Calibri" w:hAnsi="Calibri"/>
              </w:rPr>
            </w:pPr>
            <w:r>
              <w:rPr>
                <w:rFonts w:ascii="Calibri" w:hAnsi="Calibri"/>
              </w:rPr>
              <w:t>A</w:t>
            </w:r>
            <w:r w:rsidRPr="00091A8F">
              <w:rPr>
                <w:rFonts w:ascii="Calibri" w:hAnsi="Calibri"/>
              </w:rPr>
              <w:t xml:space="preserve">pply to VCAT for </w:t>
            </w:r>
            <w:r>
              <w:rPr>
                <w:rFonts w:ascii="Calibri" w:hAnsi="Calibri"/>
              </w:rPr>
              <w:t xml:space="preserve">a Hearing and Compliance Order or </w:t>
            </w:r>
            <w:r w:rsidRPr="00091A8F">
              <w:rPr>
                <w:rFonts w:ascii="Calibri" w:hAnsi="Calibri"/>
              </w:rPr>
              <w:t>Order of Possession</w:t>
            </w:r>
            <w:r>
              <w:rPr>
                <w:rFonts w:ascii="Calibri" w:hAnsi="Calibri"/>
              </w:rPr>
              <w:t xml:space="preserve"> (This can take several weeks to receive response)</w:t>
            </w:r>
          </w:p>
          <w:p w14:paraId="5CCCDBAC" w14:textId="41059AB6" w:rsidR="003961CC" w:rsidRDefault="003961CC" w:rsidP="009B1BC3">
            <w:pPr>
              <w:pStyle w:val="BodyText"/>
              <w:spacing w:after="120"/>
              <w:rPr>
                <w:rFonts w:ascii="Calibri" w:hAnsi="Calibri"/>
              </w:rPr>
            </w:pPr>
          </w:p>
        </w:tc>
      </w:tr>
      <w:tr w:rsidR="00771032" w14:paraId="2D4DF013" w14:textId="77777777" w:rsidTr="003961CC">
        <w:tc>
          <w:tcPr>
            <w:tcW w:w="2830" w:type="dxa"/>
          </w:tcPr>
          <w:p w14:paraId="57D758CD" w14:textId="77777777" w:rsidR="00771032" w:rsidRDefault="00771032" w:rsidP="009B1BC3">
            <w:pPr>
              <w:pStyle w:val="BodyText"/>
              <w:spacing w:after="120"/>
              <w:rPr>
                <w:rFonts w:ascii="Calibri" w:hAnsi="Calibri"/>
              </w:rPr>
            </w:pPr>
            <w:r w:rsidRPr="00091A8F">
              <w:rPr>
                <w:rFonts w:ascii="Calibri" w:hAnsi="Calibri"/>
              </w:rPr>
              <w:t>VCAT hearing</w:t>
            </w:r>
          </w:p>
          <w:p w14:paraId="4817B09A" w14:textId="77777777" w:rsidR="00771032" w:rsidRDefault="00771032" w:rsidP="009B1BC3">
            <w:pPr>
              <w:pStyle w:val="BodyText"/>
              <w:spacing w:after="120"/>
              <w:rPr>
                <w:rFonts w:ascii="Calibri" w:hAnsi="Calibri"/>
              </w:rPr>
            </w:pPr>
          </w:p>
          <w:p w14:paraId="360EB64E" w14:textId="4FDED158" w:rsidR="00771032" w:rsidRDefault="00771032" w:rsidP="009B1BC3">
            <w:pPr>
              <w:pStyle w:val="BodyText"/>
              <w:spacing w:after="120"/>
              <w:rPr>
                <w:rFonts w:ascii="Calibri" w:hAnsi="Calibri"/>
              </w:rPr>
            </w:pPr>
            <w:r w:rsidRPr="00091A8F">
              <w:rPr>
                <w:rFonts w:ascii="Calibri" w:hAnsi="Calibri"/>
              </w:rPr>
              <w:t>Order Issued</w:t>
            </w:r>
          </w:p>
        </w:tc>
        <w:tc>
          <w:tcPr>
            <w:tcW w:w="6186" w:type="dxa"/>
          </w:tcPr>
          <w:p w14:paraId="6F763160" w14:textId="2F3E74E3" w:rsidR="00771032" w:rsidRPr="00091A8F" w:rsidRDefault="00771032" w:rsidP="00771032">
            <w:pPr>
              <w:pStyle w:val="BodyText"/>
              <w:spacing w:after="120"/>
              <w:rPr>
                <w:rFonts w:ascii="Calibri" w:hAnsi="Calibri"/>
              </w:rPr>
            </w:pPr>
            <w:r>
              <w:rPr>
                <w:rFonts w:ascii="Calibri" w:hAnsi="Calibri"/>
              </w:rPr>
              <w:t xml:space="preserve">Renter </w:t>
            </w:r>
            <w:r w:rsidRPr="00091A8F">
              <w:rPr>
                <w:rFonts w:ascii="Calibri" w:hAnsi="Calibri"/>
              </w:rPr>
              <w:t>informed by VCAT of their right to attend and be represented</w:t>
            </w:r>
            <w:r>
              <w:rPr>
                <w:rFonts w:ascii="Calibri" w:hAnsi="Calibri"/>
              </w:rPr>
              <w:t>.</w:t>
            </w:r>
          </w:p>
          <w:p w14:paraId="2B3F460E" w14:textId="2794C4B7" w:rsidR="00771032" w:rsidRDefault="00771032" w:rsidP="009B1BC3">
            <w:pPr>
              <w:pStyle w:val="BodyText"/>
              <w:spacing w:after="120"/>
              <w:rPr>
                <w:rFonts w:ascii="Calibri" w:hAnsi="Calibri"/>
              </w:rPr>
            </w:pPr>
            <w:r w:rsidRPr="00091A8F">
              <w:rPr>
                <w:rFonts w:ascii="Calibri" w:hAnsi="Calibri"/>
              </w:rPr>
              <w:t xml:space="preserve">If </w:t>
            </w:r>
            <w:r w:rsidR="003961CC">
              <w:rPr>
                <w:rFonts w:ascii="Calibri" w:hAnsi="Calibri"/>
              </w:rPr>
              <w:t xml:space="preserve">renter </w:t>
            </w:r>
            <w:r w:rsidRPr="00091A8F">
              <w:rPr>
                <w:rFonts w:ascii="Calibri" w:hAnsi="Calibri"/>
              </w:rPr>
              <w:t>now agrees to Repayment Agreement, implement agreement</w:t>
            </w:r>
            <w:r>
              <w:rPr>
                <w:rFonts w:ascii="Calibri" w:hAnsi="Calibri"/>
              </w:rPr>
              <w:t xml:space="preserve">. </w:t>
            </w:r>
            <w:r>
              <w:rPr>
                <w:rFonts w:ascii="Calibri" w:hAnsi="Calibri"/>
              </w:rPr>
              <w:t>Housing Workers need to act on the Order issued by VCAT, generally a repayment agreement</w:t>
            </w:r>
            <w:r>
              <w:rPr>
                <w:rFonts w:ascii="Calibri" w:hAnsi="Calibri"/>
              </w:rPr>
              <w:t xml:space="preserve">. </w:t>
            </w:r>
          </w:p>
          <w:p w14:paraId="6D749A3C" w14:textId="04682AD1" w:rsidR="003961CC" w:rsidRDefault="003961CC" w:rsidP="009B1BC3">
            <w:pPr>
              <w:pStyle w:val="BodyText"/>
              <w:spacing w:after="120"/>
              <w:rPr>
                <w:rFonts w:ascii="Calibri" w:hAnsi="Calibri"/>
              </w:rPr>
            </w:pPr>
          </w:p>
        </w:tc>
      </w:tr>
      <w:tr w:rsidR="00771032" w14:paraId="665E5F74" w14:textId="77777777" w:rsidTr="003961CC">
        <w:tc>
          <w:tcPr>
            <w:tcW w:w="2830" w:type="dxa"/>
          </w:tcPr>
          <w:p w14:paraId="08213027" w14:textId="4A604BCB" w:rsidR="00771032" w:rsidRPr="00091A8F" w:rsidRDefault="00771032" w:rsidP="009B1BC3">
            <w:pPr>
              <w:pStyle w:val="BodyText"/>
              <w:spacing w:after="120"/>
              <w:rPr>
                <w:rFonts w:ascii="Calibri" w:hAnsi="Calibri"/>
              </w:rPr>
            </w:pPr>
            <w:r>
              <w:rPr>
                <w:rFonts w:ascii="Calibri" w:hAnsi="Calibri"/>
              </w:rPr>
              <w:t>One week later</w:t>
            </w:r>
          </w:p>
        </w:tc>
        <w:tc>
          <w:tcPr>
            <w:tcW w:w="6186" w:type="dxa"/>
          </w:tcPr>
          <w:p w14:paraId="3987EDD9" w14:textId="49BE9505" w:rsidR="00771032" w:rsidRDefault="00771032" w:rsidP="00771032">
            <w:pPr>
              <w:pStyle w:val="BodyText"/>
              <w:spacing w:after="120"/>
              <w:rPr>
                <w:rFonts w:ascii="Calibri" w:hAnsi="Calibri"/>
              </w:rPr>
            </w:pPr>
            <w:r w:rsidRPr="00091A8F">
              <w:rPr>
                <w:rFonts w:ascii="Calibri" w:hAnsi="Calibri"/>
              </w:rPr>
              <w:t xml:space="preserve">If </w:t>
            </w:r>
            <w:r>
              <w:rPr>
                <w:rFonts w:ascii="Calibri" w:hAnsi="Calibri"/>
              </w:rPr>
              <w:t xml:space="preserve">the </w:t>
            </w:r>
            <w:r>
              <w:rPr>
                <w:rFonts w:ascii="Calibri" w:hAnsi="Calibri"/>
              </w:rPr>
              <w:t>renter</w:t>
            </w:r>
            <w:r w:rsidRPr="00091A8F">
              <w:rPr>
                <w:rFonts w:ascii="Calibri" w:hAnsi="Calibri"/>
              </w:rPr>
              <w:t xml:space="preserve"> </w:t>
            </w:r>
            <w:r>
              <w:rPr>
                <w:rFonts w:ascii="Calibri" w:hAnsi="Calibri"/>
              </w:rPr>
              <w:t xml:space="preserve">did not attend the VCAT hearing an Order of Possession will generally be granted. If the </w:t>
            </w:r>
            <w:r w:rsidR="003961CC">
              <w:rPr>
                <w:rFonts w:ascii="Calibri" w:hAnsi="Calibri"/>
              </w:rPr>
              <w:t xml:space="preserve">renter </w:t>
            </w:r>
            <w:r>
              <w:rPr>
                <w:rFonts w:ascii="Calibri" w:hAnsi="Calibri"/>
              </w:rPr>
              <w:t>has still</w:t>
            </w:r>
            <w:r>
              <w:rPr>
                <w:rFonts w:ascii="Calibri" w:hAnsi="Calibri"/>
              </w:rPr>
              <w:t xml:space="preserve"> </w:t>
            </w:r>
            <w:r w:rsidRPr="00771032">
              <w:rPr>
                <w:rFonts w:ascii="Calibri" w:hAnsi="Calibri"/>
              </w:rPr>
              <w:t xml:space="preserve">not made contact, the Housing Workers will attempt to have a </w:t>
            </w:r>
            <w:r w:rsidRPr="00771032">
              <w:rPr>
                <w:rFonts w:ascii="Calibri" w:hAnsi="Calibri"/>
              </w:rPr>
              <w:lastRenderedPageBreak/>
              <w:t xml:space="preserve">meeting with them to discuss the fact that the situation is urgent. If in this discussion the </w:t>
            </w:r>
            <w:r w:rsidR="003961CC">
              <w:rPr>
                <w:rFonts w:ascii="Calibri" w:hAnsi="Calibri"/>
              </w:rPr>
              <w:t>renter</w:t>
            </w:r>
            <w:r w:rsidRPr="00771032">
              <w:rPr>
                <w:rFonts w:ascii="Calibri" w:hAnsi="Calibri"/>
              </w:rPr>
              <w:t xml:space="preserve"> is willing to sign a repayment agreement, this should be done. If not, the worker should discuss possible eviction with the program Manager or CEO.SPCHG Evictions Policy dictates that staff must have made at least three attempts, within two weeks of the VCAT Hearing, to contact the </w:t>
            </w:r>
            <w:r w:rsidR="003961CC">
              <w:rPr>
                <w:rFonts w:ascii="Calibri" w:hAnsi="Calibri"/>
              </w:rPr>
              <w:t>renter</w:t>
            </w:r>
            <w:r w:rsidRPr="00771032">
              <w:rPr>
                <w:rFonts w:ascii="Calibri" w:hAnsi="Calibri"/>
              </w:rPr>
              <w:t xml:space="preserve"> </w:t>
            </w:r>
            <w:proofErr w:type="gramStart"/>
            <w:r w:rsidRPr="00771032">
              <w:rPr>
                <w:rFonts w:ascii="Calibri" w:hAnsi="Calibri"/>
              </w:rPr>
              <w:t>in order to</w:t>
            </w:r>
            <w:proofErr w:type="gramEnd"/>
            <w:r w:rsidRPr="00771032">
              <w:rPr>
                <w:rFonts w:ascii="Calibri" w:hAnsi="Calibri"/>
              </w:rPr>
              <w:t xml:space="preserve"> negotiate a plan to repay rent arrears and, if required, a plan to get access to relevant support services.</w:t>
            </w:r>
            <w:r w:rsidR="003961CC">
              <w:rPr>
                <w:rFonts w:ascii="Calibri" w:hAnsi="Calibri"/>
              </w:rPr>
              <w:t xml:space="preserve"> </w:t>
            </w:r>
            <w:r w:rsidRPr="00771032">
              <w:rPr>
                <w:rFonts w:ascii="Calibri" w:hAnsi="Calibri"/>
              </w:rPr>
              <w:t xml:space="preserve">Workers must complete an Application to Evict Form which must be authorised by the CEO before a Warrant may be acted upon.    </w:t>
            </w:r>
          </w:p>
          <w:p w14:paraId="7C410B60" w14:textId="66134751" w:rsidR="00771032" w:rsidRDefault="00771032" w:rsidP="00771032">
            <w:pPr>
              <w:pStyle w:val="BodyText"/>
              <w:spacing w:after="120"/>
              <w:rPr>
                <w:rFonts w:ascii="Calibri" w:hAnsi="Calibri"/>
              </w:rPr>
            </w:pPr>
            <w:r w:rsidRPr="009B1BC3">
              <w:rPr>
                <w:rFonts w:ascii="Calibri" w:hAnsi="Calibri"/>
                <w:b/>
                <w:i/>
              </w:rPr>
              <w:t>Letter 3</w:t>
            </w:r>
            <w:r>
              <w:rPr>
                <w:rFonts w:ascii="Calibri" w:hAnsi="Calibri"/>
              </w:rPr>
              <w:t xml:space="preserve"> advises the </w:t>
            </w:r>
            <w:r>
              <w:rPr>
                <w:rFonts w:ascii="Calibri" w:hAnsi="Calibri"/>
              </w:rPr>
              <w:t>renter</w:t>
            </w:r>
            <w:r>
              <w:rPr>
                <w:rFonts w:ascii="Calibri" w:hAnsi="Calibri"/>
              </w:rPr>
              <w:t xml:space="preserve"> that the organisation is purchasing a Warrant of Possession and will activate it within a set </w:t>
            </w:r>
            <w:proofErr w:type="gramStart"/>
            <w:r>
              <w:rPr>
                <w:rFonts w:ascii="Calibri" w:hAnsi="Calibri"/>
              </w:rPr>
              <w:t>time period</w:t>
            </w:r>
            <w:proofErr w:type="gramEnd"/>
            <w:r>
              <w:rPr>
                <w:rFonts w:ascii="Calibri" w:hAnsi="Calibri"/>
              </w:rPr>
              <w:t>.</w:t>
            </w:r>
          </w:p>
        </w:tc>
      </w:tr>
    </w:tbl>
    <w:p w14:paraId="7C14B9D0" w14:textId="77592416" w:rsidR="004D39A9" w:rsidRPr="00091A8F" w:rsidRDefault="004D39A9" w:rsidP="00771032">
      <w:pPr>
        <w:pStyle w:val="BodyText"/>
        <w:spacing w:after="120"/>
        <w:rPr>
          <w:rFonts w:ascii="Calibri" w:hAnsi="Calibri"/>
        </w:rPr>
      </w:pPr>
    </w:p>
    <w:p w14:paraId="4A34CEC4" w14:textId="77777777" w:rsidR="003608DD" w:rsidRDefault="003608DD" w:rsidP="009B1BC3">
      <w:pPr>
        <w:pStyle w:val="Heading2"/>
        <w:spacing w:after="120"/>
      </w:pPr>
      <w:r>
        <w:t>RECURRENT ARREARS</w:t>
      </w:r>
    </w:p>
    <w:p w14:paraId="66ED1961" w14:textId="5C449A1A" w:rsidR="000A65F2" w:rsidRPr="00091A8F" w:rsidRDefault="003608DD" w:rsidP="009B1BC3">
      <w:pPr>
        <w:spacing w:after="120"/>
      </w:pPr>
      <w:r w:rsidRPr="00091A8F">
        <w:t xml:space="preserve">If a payment is missed while a </w:t>
      </w:r>
      <w:r w:rsidR="00771032">
        <w:t>renter</w:t>
      </w:r>
      <w:r w:rsidRPr="00091A8F">
        <w:t xml:space="preserve"> is on a Repayment Agreement and contact is not made, a </w:t>
      </w:r>
      <w:r w:rsidRPr="00242A32">
        <w:rPr>
          <w:b/>
          <w:i/>
        </w:rPr>
        <w:t>Letter 2</w:t>
      </w:r>
      <w:r w:rsidR="000A65F2">
        <w:rPr>
          <w:b/>
          <w:i/>
        </w:rPr>
        <w:t>a</w:t>
      </w:r>
      <w:r w:rsidRPr="00091A8F">
        <w:t xml:space="preserve"> will be sent, requiring the </w:t>
      </w:r>
      <w:r w:rsidR="00771032">
        <w:t>renter</w:t>
      </w:r>
      <w:r w:rsidRPr="00091A8F">
        <w:t xml:space="preserve"> to contact the office within 48 hours.</w:t>
      </w:r>
      <w:r>
        <w:t xml:space="preserve"> </w:t>
      </w:r>
      <w:r w:rsidRPr="00091A8F">
        <w:t xml:space="preserve">If the </w:t>
      </w:r>
      <w:r w:rsidR="00771032">
        <w:t>renter</w:t>
      </w:r>
      <w:r w:rsidRPr="00091A8F">
        <w:t xml:space="preserve"> contacts, there will be opportunity to reneg</w:t>
      </w:r>
      <w:r>
        <w:t>otiate the repayment agreement.</w:t>
      </w:r>
      <w:r w:rsidR="000A65F2">
        <w:t xml:space="preserve"> If no contact, a VCAT application will be made. If there is already an Order of Possession in effect, a </w:t>
      </w:r>
      <w:r w:rsidR="000A65F2" w:rsidRPr="009B1BC3">
        <w:rPr>
          <w:b/>
          <w:i/>
        </w:rPr>
        <w:t>Letter 2b</w:t>
      </w:r>
      <w:r w:rsidR="000A65F2">
        <w:t xml:space="preserve"> will be sent, which demands urgent attention. </w:t>
      </w:r>
    </w:p>
    <w:p w14:paraId="30F398D2" w14:textId="2E2C4633" w:rsidR="003608DD" w:rsidRDefault="003608DD" w:rsidP="009B1BC3">
      <w:pPr>
        <w:spacing w:after="120"/>
      </w:pPr>
      <w:r w:rsidRPr="00091A8F">
        <w:t xml:space="preserve">In the case of </w:t>
      </w:r>
      <w:proofErr w:type="gramStart"/>
      <w:r w:rsidRPr="00091A8F">
        <w:t>long term</w:t>
      </w:r>
      <w:proofErr w:type="gramEnd"/>
      <w:r w:rsidRPr="00091A8F">
        <w:t xml:space="preserve"> </w:t>
      </w:r>
      <w:r w:rsidR="00771032">
        <w:t>renter</w:t>
      </w:r>
      <w:r w:rsidRPr="00091A8F">
        <w:t xml:space="preserve">s with genuine circumstances affecting capacity to repay at a particular time, the organisation </w:t>
      </w:r>
      <w:r w:rsidR="000A65F2">
        <w:t>may</w:t>
      </w:r>
      <w:r w:rsidRPr="00091A8F">
        <w:t xml:space="preserve"> seek a Compliance Order, rather than an Order of Possession.</w:t>
      </w:r>
    </w:p>
    <w:p w14:paraId="0C3A906D" w14:textId="7B39CA79" w:rsidR="003608DD" w:rsidRDefault="003608DD" w:rsidP="009B1BC3">
      <w:pPr>
        <w:spacing w:after="120"/>
      </w:pPr>
      <w:proofErr w:type="gramStart"/>
      <w:r w:rsidRPr="00091A8F">
        <w:t>As long as</w:t>
      </w:r>
      <w:proofErr w:type="gramEnd"/>
      <w:r w:rsidRPr="00091A8F">
        <w:t xml:space="preserve"> a </w:t>
      </w:r>
      <w:r w:rsidR="00771032">
        <w:t>renter</w:t>
      </w:r>
      <w:r w:rsidRPr="00091A8F">
        <w:t xml:space="preserve"> has negotiated and signed a Repayment Agreement and is maintaining payments at agreed levels, the organisation will not </w:t>
      </w:r>
      <w:r w:rsidR="000A65F2">
        <w:t xml:space="preserve">seek or </w:t>
      </w:r>
      <w:r w:rsidRPr="00091A8F">
        <w:t>enact an Order of Possession.</w:t>
      </w:r>
    </w:p>
    <w:p w14:paraId="3DC35ACC" w14:textId="77777777" w:rsidR="000A65F2" w:rsidRDefault="000A65F2" w:rsidP="000A65F2">
      <w:pPr>
        <w:pStyle w:val="Heading2"/>
        <w:spacing w:after="120"/>
      </w:pPr>
      <w:r>
        <w:t>NO INCOME DUE TO CENTRELINK PUNISHMENT</w:t>
      </w:r>
    </w:p>
    <w:p w14:paraId="0A7F1C9A" w14:textId="081FAA39" w:rsidR="003608DD" w:rsidRDefault="000A65F2" w:rsidP="009B1BC3">
      <w:pPr>
        <w:spacing w:after="120"/>
      </w:pPr>
      <w:r>
        <w:t xml:space="preserve">When </w:t>
      </w:r>
      <w:r w:rsidR="003961CC">
        <w:t>renter</w:t>
      </w:r>
      <w:r>
        <w:t xml:space="preserve">s are cut off their Centrelink income for a period of weeks as punishment by Centrelink, this creates a dilemma for a community housing organisation which is keen to sustain the tenancies of people on low income. </w:t>
      </w:r>
    </w:p>
    <w:p w14:paraId="431905A3" w14:textId="640D31FB" w:rsidR="00BF1440" w:rsidRDefault="000A65F2" w:rsidP="009B1BC3">
      <w:pPr>
        <w:spacing w:after="120"/>
      </w:pPr>
      <w:r>
        <w:t xml:space="preserve">A period of grace will be allowed in these circumstances and Housing Workers should investigate getting the </w:t>
      </w:r>
      <w:r w:rsidR="003961CC">
        <w:t>renter</w:t>
      </w:r>
      <w:r>
        <w:t xml:space="preserve"> assistance to appeal the benefit suspension decision by Centrelink. </w:t>
      </w:r>
    </w:p>
    <w:p w14:paraId="2C27F3B3" w14:textId="53449785" w:rsidR="00771032" w:rsidRDefault="003961CC" w:rsidP="003961CC">
      <w:pPr>
        <w:pStyle w:val="Heading2"/>
      </w:pPr>
      <w:r>
        <w:t>RElated policies</w:t>
      </w:r>
    </w:p>
    <w:p w14:paraId="0975AD46" w14:textId="028515C0" w:rsidR="003961CC" w:rsidRDefault="003961CC" w:rsidP="003961CC"/>
    <w:p w14:paraId="46A00685" w14:textId="10A0A600" w:rsidR="003961CC" w:rsidRPr="003961CC" w:rsidRDefault="003961CC" w:rsidP="003961CC">
      <w:pPr>
        <w:pStyle w:val="ListParagraph"/>
        <w:numPr>
          <w:ilvl w:val="0"/>
          <w:numId w:val="18"/>
        </w:numPr>
      </w:pPr>
      <w:r>
        <w:t>Rent Setting Policy</w:t>
      </w:r>
    </w:p>
    <w:sectPr w:rsidR="003961CC" w:rsidRPr="003961CC" w:rsidSect="009B1BC3">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176BA" w14:textId="77777777" w:rsidR="00247B72" w:rsidRDefault="00247B72" w:rsidP="003608DD">
      <w:r>
        <w:separator/>
      </w:r>
    </w:p>
  </w:endnote>
  <w:endnote w:type="continuationSeparator" w:id="0">
    <w:p w14:paraId="1D34DBC6" w14:textId="77777777" w:rsidR="00247B72" w:rsidRDefault="00247B72" w:rsidP="0036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456076"/>
      <w:docPartObj>
        <w:docPartGallery w:val="Page Numbers (Bottom of Page)"/>
        <w:docPartUnique/>
      </w:docPartObj>
    </w:sdtPr>
    <w:sdtEndPr>
      <w:rPr>
        <w:i/>
        <w:sz w:val="18"/>
        <w:szCs w:val="18"/>
      </w:rPr>
    </w:sdtEndPr>
    <w:sdtContent>
      <w:sdt>
        <w:sdtPr>
          <w:rPr>
            <w:i/>
            <w:sz w:val="18"/>
            <w:szCs w:val="18"/>
          </w:rPr>
          <w:id w:val="860082579"/>
          <w:docPartObj>
            <w:docPartGallery w:val="Page Numbers (Top of Page)"/>
            <w:docPartUnique/>
          </w:docPartObj>
        </w:sdtPr>
        <w:sdtEndPr/>
        <w:sdtContent>
          <w:p w14:paraId="5365E91D" w14:textId="1AEAD95A" w:rsidR="00247B72" w:rsidRPr="00DB4018" w:rsidRDefault="003961CC" w:rsidP="003961CC">
            <w:pPr>
              <w:pStyle w:val="Footer"/>
              <w:rPr>
                <w:i/>
                <w:sz w:val="18"/>
                <w:szCs w:val="18"/>
              </w:rPr>
            </w:pPr>
            <w:r>
              <w:rPr>
                <w:i/>
                <w:sz w:val="18"/>
                <w:szCs w:val="18"/>
              </w:rPr>
              <w:t>SPCHG Rent Management Policy</w:t>
            </w:r>
            <w:r w:rsidR="00247B72">
              <w:rPr>
                <w:i/>
                <w:sz w:val="18"/>
                <w:szCs w:val="18"/>
              </w:rPr>
              <w:t xml:space="preserve">                                                                                                                                               </w:t>
            </w:r>
            <w:r w:rsidR="00247B72" w:rsidRPr="00DB4018">
              <w:rPr>
                <w:i/>
                <w:sz w:val="18"/>
                <w:szCs w:val="18"/>
              </w:rPr>
              <w:t xml:space="preserve">Page </w:t>
            </w:r>
            <w:r w:rsidR="00247B72" w:rsidRPr="00DB4018">
              <w:rPr>
                <w:bCs/>
                <w:i/>
                <w:sz w:val="18"/>
                <w:szCs w:val="18"/>
              </w:rPr>
              <w:fldChar w:fldCharType="begin"/>
            </w:r>
            <w:r w:rsidR="00247B72" w:rsidRPr="00DB4018">
              <w:rPr>
                <w:bCs/>
                <w:i/>
                <w:sz w:val="18"/>
                <w:szCs w:val="18"/>
              </w:rPr>
              <w:instrText xml:space="preserve"> PAGE </w:instrText>
            </w:r>
            <w:r w:rsidR="00247B72" w:rsidRPr="00DB4018">
              <w:rPr>
                <w:bCs/>
                <w:i/>
                <w:sz w:val="18"/>
                <w:szCs w:val="18"/>
              </w:rPr>
              <w:fldChar w:fldCharType="separate"/>
            </w:r>
            <w:r w:rsidR="00C3424A">
              <w:rPr>
                <w:bCs/>
                <w:i/>
                <w:noProof/>
                <w:sz w:val="18"/>
                <w:szCs w:val="18"/>
              </w:rPr>
              <w:t>2</w:t>
            </w:r>
            <w:r w:rsidR="00247B72" w:rsidRPr="00DB4018">
              <w:rPr>
                <w:bCs/>
                <w:i/>
                <w:sz w:val="18"/>
                <w:szCs w:val="18"/>
              </w:rPr>
              <w:fldChar w:fldCharType="end"/>
            </w:r>
            <w:r w:rsidR="00247B72" w:rsidRPr="00DB4018">
              <w:rPr>
                <w:i/>
                <w:sz w:val="18"/>
                <w:szCs w:val="18"/>
              </w:rPr>
              <w:t xml:space="preserve"> of </w:t>
            </w:r>
            <w:r w:rsidR="00247B72" w:rsidRPr="00DB4018">
              <w:rPr>
                <w:bCs/>
                <w:i/>
                <w:sz w:val="18"/>
                <w:szCs w:val="18"/>
              </w:rPr>
              <w:fldChar w:fldCharType="begin"/>
            </w:r>
            <w:r w:rsidR="00247B72" w:rsidRPr="00DB4018">
              <w:rPr>
                <w:bCs/>
                <w:i/>
                <w:sz w:val="18"/>
                <w:szCs w:val="18"/>
              </w:rPr>
              <w:instrText xml:space="preserve"> NUMPAGES  </w:instrText>
            </w:r>
            <w:r w:rsidR="00247B72" w:rsidRPr="00DB4018">
              <w:rPr>
                <w:bCs/>
                <w:i/>
                <w:sz w:val="18"/>
                <w:szCs w:val="18"/>
              </w:rPr>
              <w:fldChar w:fldCharType="separate"/>
            </w:r>
            <w:r w:rsidR="00C3424A">
              <w:rPr>
                <w:bCs/>
                <w:i/>
                <w:noProof/>
                <w:sz w:val="18"/>
                <w:szCs w:val="18"/>
              </w:rPr>
              <w:t>5</w:t>
            </w:r>
            <w:r w:rsidR="00247B72" w:rsidRPr="00DB4018">
              <w:rPr>
                <w:bCs/>
                <w:i/>
                <w:sz w:val="18"/>
                <w:szCs w:val="18"/>
              </w:rPr>
              <w:fldChar w:fldCharType="end"/>
            </w:r>
          </w:p>
        </w:sdtContent>
      </w:sdt>
    </w:sdtContent>
  </w:sdt>
  <w:p w14:paraId="07ACE7A3" w14:textId="77777777" w:rsidR="00247B72" w:rsidRDefault="00247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A05B3" w14:textId="77777777" w:rsidR="00247B72" w:rsidRDefault="00247B72" w:rsidP="003608DD">
      <w:r>
        <w:separator/>
      </w:r>
    </w:p>
  </w:footnote>
  <w:footnote w:type="continuationSeparator" w:id="0">
    <w:p w14:paraId="66026EA7" w14:textId="77777777" w:rsidR="00247B72" w:rsidRDefault="00247B72" w:rsidP="0036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C8C3" w14:textId="77777777" w:rsidR="00C3424A" w:rsidRPr="00E63440" w:rsidRDefault="00C3424A" w:rsidP="00C3424A">
    <w:pPr>
      <w:pStyle w:val="Header"/>
    </w:pPr>
    <w:r>
      <w:rPr>
        <w:noProof/>
      </w:rPr>
      <w:drawing>
        <wp:inline distT="0" distB="0" distL="0" distR="0" wp14:anchorId="404F0907" wp14:editId="331A302E">
          <wp:extent cx="330200" cy="545465"/>
          <wp:effectExtent l="0" t="0" r="0" b="6985"/>
          <wp:docPr id="3" name="Picture 3" descr="logo 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545465"/>
                  </a:xfrm>
                  <a:prstGeom prst="rect">
                    <a:avLst/>
                  </a:prstGeom>
                  <a:noFill/>
                  <a:ln>
                    <a:noFill/>
                  </a:ln>
                </pic:spPr>
              </pic:pic>
            </a:graphicData>
          </a:graphic>
        </wp:inline>
      </w:drawing>
    </w:r>
  </w:p>
  <w:p w14:paraId="7343B309" w14:textId="77777777" w:rsidR="00C3424A" w:rsidRPr="00C3424A" w:rsidRDefault="00C3424A" w:rsidP="00C3424A">
    <w:r w:rsidRPr="00C3424A">
      <w:rPr>
        <w:u w:val="single"/>
      </w:rPr>
      <w:t>RENT MANAGEMENT POLICY</w:t>
    </w:r>
    <w:r>
      <w:t>__________________________________________________________</w:t>
    </w:r>
    <w:r w:rsidRPr="00C3424A">
      <w:t xml:space="preserve"> </w:t>
    </w:r>
  </w:p>
  <w:p w14:paraId="07384414" w14:textId="77777777" w:rsidR="00247B72" w:rsidRPr="009B1BC3" w:rsidRDefault="00247B72" w:rsidP="009B1BC3">
    <w:pPr>
      <w:pStyle w:val="Header"/>
    </w:pPr>
    <w:r w:rsidRPr="009B1BC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4987" w14:textId="77777777" w:rsidR="00247B72" w:rsidRPr="00E63440" w:rsidRDefault="00C3424A" w:rsidP="009B1BC3">
    <w:pPr>
      <w:pStyle w:val="Header"/>
    </w:pPr>
    <w:bookmarkStart w:id="0" w:name="_Toc409172963"/>
    <w:r>
      <w:rPr>
        <w:noProof/>
      </w:rPr>
      <w:drawing>
        <wp:inline distT="0" distB="0" distL="0" distR="0" wp14:anchorId="0EB71800" wp14:editId="21206FD3">
          <wp:extent cx="330200" cy="545465"/>
          <wp:effectExtent l="0" t="0" r="0" b="6985"/>
          <wp:docPr id="1" name="Picture 1" descr="logo 5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5k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545465"/>
                  </a:xfrm>
                  <a:prstGeom prst="rect">
                    <a:avLst/>
                  </a:prstGeom>
                  <a:noFill/>
                  <a:ln>
                    <a:noFill/>
                  </a:ln>
                </pic:spPr>
              </pic:pic>
            </a:graphicData>
          </a:graphic>
        </wp:inline>
      </w:drawing>
    </w:r>
  </w:p>
  <w:bookmarkEnd w:id="0"/>
  <w:p w14:paraId="54A06C79" w14:textId="77777777" w:rsidR="00247B72" w:rsidRPr="00C3424A" w:rsidRDefault="00247B72" w:rsidP="009B1BC3">
    <w:r w:rsidRPr="00C3424A">
      <w:rPr>
        <w:u w:val="single"/>
      </w:rPr>
      <w:t>RENT MANAGEMENT POLICY</w:t>
    </w:r>
    <w:r w:rsidR="00C3424A">
      <w:t>__________________________________________________________</w:t>
    </w:r>
    <w:r w:rsidRPr="00C3424A">
      <w:t xml:space="preserve"> </w:t>
    </w:r>
  </w:p>
  <w:p w14:paraId="296E5326" w14:textId="77777777" w:rsidR="00247B72" w:rsidRDefault="00247B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9A5"/>
    <w:multiLevelType w:val="hybridMultilevel"/>
    <w:tmpl w:val="D81E7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4245CE"/>
    <w:multiLevelType w:val="hybridMultilevel"/>
    <w:tmpl w:val="5698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B1C46"/>
    <w:multiLevelType w:val="hybridMultilevel"/>
    <w:tmpl w:val="BB4CF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5B3DCA"/>
    <w:multiLevelType w:val="hybridMultilevel"/>
    <w:tmpl w:val="EC6C6B28"/>
    <w:lvl w:ilvl="0" w:tplc="2E40A25A">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E29D7"/>
    <w:multiLevelType w:val="hybridMultilevel"/>
    <w:tmpl w:val="8CB6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577C9"/>
    <w:multiLevelType w:val="hybridMultilevel"/>
    <w:tmpl w:val="4076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A5A0D"/>
    <w:multiLevelType w:val="hybridMultilevel"/>
    <w:tmpl w:val="E282301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2E5D46"/>
    <w:multiLevelType w:val="hybridMultilevel"/>
    <w:tmpl w:val="157CA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D24217"/>
    <w:multiLevelType w:val="hybridMultilevel"/>
    <w:tmpl w:val="ED00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332FA"/>
    <w:multiLevelType w:val="multilevel"/>
    <w:tmpl w:val="320C743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48E06CA6"/>
    <w:multiLevelType w:val="hybridMultilevel"/>
    <w:tmpl w:val="CF54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84E92"/>
    <w:multiLevelType w:val="hybridMultilevel"/>
    <w:tmpl w:val="06987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6D6A5F"/>
    <w:multiLevelType w:val="hybridMultilevel"/>
    <w:tmpl w:val="2E68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4A680E"/>
    <w:multiLevelType w:val="hybridMultilevel"/>
    <w:tmpl w:val="5402258E"/>
    <w:lvl w:ilvl="0" w:tplc="0C090001">
      <w:start w:val="1"/>
      <w:numFmt w:val="decimal"/>
      <w:lvlText w:val="%1."/>
      <w:lvlJc w:val="left"/>
      <w:pPr>
        <w:tabs>
          <w:tab w:val="num" w:pos="720"/>
        </w:tabs>
        <w:ind w:left="720" w:hanging="360"/>
      </w:pPr>
    </w:lvl>
    <w:lvl w:ilvl="1" w:tplc="0C090003">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4" w15:restartNumberingAfterBreak="0">
    <w:nsid w:val="4FAA73B1"/>
    <w:multiLevelType w:val="hybridMultilevel"/>
    <w:tmpl w:val="3D207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6F6502"/>
    <w:multiLevelType w:val="hybridMultilevel"/>
    <w:tmpl w:val="BAB6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2A7873"/>
    <w:multiLevelType w:val="hybridMultilevel"/>
    <w:tmpl w:val="4740D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43BE9"/>
    <w:multiLevelType w:val="hybridMultilevel"/>
    <w:tmpl w:val="5946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487693">
    <w:abstractNumId w:val="9"/>
  </w:num>
  <w:num w:numId="2" w16cid:durableId="1247150965">
    <w:abstractNumId w:val="13"/>
  </w:num>
  <w:num w:numId="3" w16cid:durableId="1986200722">
    <w:abstractNumId w:val="7"/>
  </w:num>
  <w:num w:numId="4" w16cid:durableId="20204047">
    <w:abstractNumId w:val="0"/>
  </w:num>
  <w:num w:numId="5" w16cid:durableId="2107994140">
    <w:abstractNumId w:val="2"/>
  </w:num>
  <w:num w:numId="6" w16cid:durableId="1609654516">
    <w:abstractNumId w:val="8"/>
  </w:num>
  <w:num w:numId="7" w16cid:durableId="874538436">
    <w:abstractNumId w:val="5"/>
  </w:num>
  <w:num w:numId="8" w16cid:durableId="1299409440">
    <w:abstractNumId w:val="14"/>
  </w:num>
  <w:num w:numId="9" w16cid:durableId="1330449966">
    <w:abstractNumId w:val="16"/>
  </w:num>
  <w:num w:numId="10" w16cid:durableId="606087096">
    <w:abstractNumId w:val="10"/>
  </w:num>
  <w:num w:numId="11" w16cid:durableId="1963262195">
    <w:abstractNumId w:val="11"/>
  </w:num>
  <w:num w:numId="12" w16cid:durableId="523253171">
    <w:abstractNumId w:val="4"/>
  </w:num>
  <w:num w:numId="13" w16cid:durableId="1653828941">
    <w:abstractNumId w:val="12"/>
  </w:num>
  <w:num w:numId="14" w16cid:durableId="197158602">
    <w:abstractNumId w:val="1"/>
  </w:num>
  <w:num w:numId="15" w16cid:durableId="307512616">
    <w:abstractNumId w:val="15"/>
  </w:num>
  <w:num w:numId="16" w16cid:durableId="527644708">
    <w:abstractNumId w:val="6"/>
  </w:num>
  <w:num w:numId="17" w16cid:durableId="1630741752">
    <w:abstractNumId w:val="17"/>
  </w:num>
  <w:num w:numId="18" w16cid:durableId="8569685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8DD"/>
    <w:rsid w:val="00043A49"/>
    <w:rsid w:val="000A65F2"/>
    <w:rsid w:val="00242A32"/>
    <w:rsid w:val="00247B72"/>
    <w:rsid w:val="002A10AF"/>
    <w:rsid w:val="0030280C"/>
    <w:rsid w:val="003608DD"/>
    <w:rsid w:val="003651B9"/>
    <w:rsid w:val="003961CC"/>
    <w:rsid w:val="003C5FE4"/>
    <w:rsid w:val="00401742"/>
    <w:rsid w:val="00492435"/>
    <w:rsid w:val="004D1097"/>
    <w:rsid w:val="004D39A9"/>
    <w:rsid w:val="004E0865"/>
    <w:rsid w:val="00693464"/>
    <w:rsid w:val="007145D8"/>
    <w:rsid w:val="00771032"/>
    <w:rsid w:val="007751CD"/>
    <w:rsid w:val="007845DC"/>
    <w:rsid w:val="007A7B5B"/>
    <w:rsid w:val="009B1BC3"/>
    <w:rsid w:val="009B7349"/>
    <w:rsid w:val="00B46D89"/>
    <w:rsid w:val="00BC4F74"/>
    <w:rsid w:val="00BF1440"/>
    <w:rsid w:val="00C3424A"/>
    <w:rsid w:val="00C50E08"/>
    <w:rsid w:val="00DE7C91"/>
    <w:rsid w:val="00F139AA"/>
    <w:rsid w:val="00FB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FF52"/>
  <w15:docId w15:val="{72711512-43D8-40F7-90D8-C409248BE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8DD"/>
    <w:pPr>
      <w:spacing w:after="0" w:line="240" w:lineRule="auto"/>
    </w:pPr>
    <w:rPr>
      <w:rFonts w:eastAsia="Times New Roman" w:cs="Times New Roman"/>
      <w:szCs w:val="20"/>
      <w:lang w:eastAsia="en-AU"/>
    </w:rPr>
  </w:style>
  <w:style w:type="paragraph" w:styleId="Heading1">
    <w:name w:val="heading 1"/>
    <w:basedOn w:val="Normal"/>
    <w:next w:val="Normal"/>
    <w:link w:val="Heading1Char"/>
    <w:uiPriority w:val="9"/>
    <w:qFormat/>
    <w:rsid w:val="003608DD"/>
    <w:pPr>
      <w:keepNext/>
      <w:keepLines/>
      <w:numPr>
        <w:numId w:val="1"/>
      </w:numPr>
      <w:tabs>
        <w:tab w:val="left" w:pos="851"/>
        <w:tab w:val="left" w:pos="1134"/>
      </w:tabs>
      <w:outlineLvl w:val="0"/>
    </w:pPr>
    <w:rPr>
      <w:rFonts w:ascii="Calibri" w:eastAsiaTheme="majorEastAsia" w:hAnsi="Calibri" w:cstheme="majorBidi"/>
      <w:b/>
      <w:bCs/>
      <w:caps/>
      <w:szCs w:val="28"/>
    </w:rPr>
  </w:style>
  <w:style w:type="paragraph" w:styleId="Heading2">
    <w:name w:val="heading 2"/>
    <w:basedOn w:val="Normal"/>
    <w:next w:val="Normal"/>
    <w:link w:val="Heading2Char"/>
    <w:uiPriority w:val="9"/>
    <w:unhideWhenUsed/>
    <w:qFormat/>
    <w:rsid w:val="003608DD"/>
    <w:pPr>
      <w:keepNext/>
      <w:keepLines/>
      <w:numPr>
        <w:ilvl w:val="1"/>
        <w:numId w:val="1"/>
      </w:numPr>
      <w:tabs>
        <w:tab w:val="left" w:pos="851"/>
      </w:tabs>
      <w:outlineLvl w:val="1"/>
    </w:pPr>
    <w:rPr>
      <w:rFonts w:ascii="Calibri" w:eastAsiaTheme="majorEastAsia" w:hAnsi="Calibri" w:cstheme="majorBidi"/>
      <w:bCs/>
      <w:caps/>
      <w:color w:val="000000" w:themeColor="text1"/>
      <w:szCs w:val="26"/>
    </w:rPr>
  </w:style>
  <w:style w:type="paragraph" w:styleId="Heading3">
    <w:name w:val="heading 3"/>
    <w:basedOn w:val="Heading1"/>
    <w:next w:val="Normal"/>
    <w:link w:val="Heading3Char"/>
    <w:qFormat/>
    <w:rsid w:val="003608DD"/>
    <w:pPr>
      <w:numPr>
        <w:ilvl w:val="2"/>
      </w:numPr>
      <w:outlineLvl w:val="2"/>
    </w:pPr>
    <w:rPr>
      <w:b w:val="0"/>
      <w:caps w:val="0"/>
    </w:rPr>
  </w:style>
  <w:style w:type="paragraph" w:styleId="Heading4">
    <w:name w:val="heading 4"/>
    <w:basedOn w:val="Normal"/>
    <w:next w:val="Normal"/>
    <w:link w:val="Heading4Char"/>
    <w:uiPriority w:val="9"/>
    <w:unhideWhenUsed/>
    <w:qFormat/>
    <w:rsid w:val="003608DD"/>
    <w:pPr>
      <w:keepNext/>
      <w:keepLines/>
      <w:numPr>
        <w:ilvl w:val="3"/>
        <w:numId w:val="1"/>
      </w:numPr>
      <w:spacing w:before="200"/>
      <w:outlineLvl w:val="3"/>
    </w:pPr>
    <w:rPr>
      <w:rFonts w:asciiTheme="majorHAnsi" w:eastAsiaTheme="majorEastAsia" w:hAnsiTheme="majorHAnsi" w:cstheme="majorBidi"/>
      <w:bCs/>
      <w:i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08DD"/>
    <w:rPr>
      <w:rFonts w:ascii="Calibri" w:eastAsiaTheme="majorEastAsia" w:hAnsi="Calibri" w:cstheme="majorBidi"/>
      <w:b/>
      <w:bCs/>
      <w:caps/>
      <w:szCs w:val="28"/>
      <w:lang w:eastAsia="en-AU"/>
    </w:rPr>
  </w:style>
  <w:style w:type="character" w:customStyle="1" w:styleId="Heading2Char">
    <w:name w:val="Heading 2 Char"/>
    <w:basedOn w:val="DefaultParagraphFont"/>
    <w:link w:val="Heading2"/>
    <w:uiPriority w:val="9"/>
    <w:rsid w:val="003608DD"/>
    <w:rPr>
      <w:rFonts w:ascii="Calibri" w:eastAsiaTheme="majorEastAsia" w:hAnsi="Calibri" w:cstheme="majorBidi"/>
      <w:bCs/>
      <w:caps/>
      <w:color w:val="000000" w:themeColor="text1"/>
      <w:szCs w:val="26"/>
      <w:lang w:eastAsia="en-AU"/>
    </w:rPr>
  </w:style>
  <w:style w:type="character" w:customStyle="1" w:styleId="Heading3Char">
    <w:name w:val="Heading 3 Char"/>
    <w:basedOn w:val="DefaultParagraphFont"/>
    <w:link w:val="Heading3"/>
    <w:rsid w:val="003608DD"/>
    <w:rPr>
      <w:rFonts w:ascii="Calibri" w:eastAsiaTheme="majorEastAsia" w:hAnsi="Calibri" w:cstheme="majorBidi"/>
      <w:bCs/>
      <w:szCs w:val="28"/>
      <w:lang w:eastAsia="en-AU"/>
    </w:rPr>
  </w:style>
  <w:style w:type="character" w:customStyle="1" w:styleId="Heading4Char">
    <w:name w:val="Heading 4 Char"/>
    <w:basedOn w:val="DefaultParagraphFont"/>
    <w:link w:val="Heading4"/>
    <w:uiPriority w:val="9"/>
    <w:rsid w:val="003608DD"/>
    <w:rPr>
      <w:rFonts w:asciiTheme="majorHAnsi" w:eastAsiaTheme="majorEastAsia" w:hAnsiTheme="majorHAnsi" w:cstheme="majorBidi"/>
      <w:bCs/>
      <w:iCs/>
      <w:caps/>
      <w:color w:val="000000" w:themeColor="text1"/>
      <w:szCs w:val="20"/>
      <w:lang w:eastAsia="en-AU"/>
    </w:rPr>
  </w:style>
  <w:style w:type="paragraph" w:styleId="BodyText">
    <w:name w:val="Body Text"/>
    <w:basedOn w:val="Normal"/>
    <w:link w:val="BodyTextChar"/>
    <w:rsid w:val="003608DD"/>
    <w:pPr>
      <w:widowControl w:val="0"/>
      <w:spacing w:after="160"/>
    </w:pPr>
    <w:rPr>
      <w:rFonts w:ascii="Gill Sans MT" w:hAnsi="Gill Sans MT"/>
      <w:szCs w:val="22"/>
      <w:lang w:eastAsia="en-US"/>
    </w:rPr>
  </w:style>
  <w:style w:type="character" w:customStyle="1" w:styleId="BodyTextChar">
    <w:name w:val="Body Text Char"/>
    <w:basedOn w:val="DefaultParagraphFont"/>
    <w:link w:val="BodyText"/>
    <w:rsid w:val="003608DD"/>
    <w:rPr>
      <w:rFonts w:ascii="Gill Sans MT" w:eastAsia="Times New Roman" w:hAnsi="Gill Sans MT" w:cs="Times New Roman"/>
    </w:rPr>
  </w:style>
  <w:style w:type="paragraph" w:styleId="ListParagraph">
    <w:name w:val="List Paragraph"/>
    <w:basedOn w:val="Normal"/>
    <w:uiPriority w:val="34"/>
    <w:qFormat/>
    <w:rsid w:val="003608DD"/>
    <w:pPr>
      <w:spacing w:after="120" w:line="276" w:lineRule="auto"/>
      <w:ind w:left="720"/>
      <w:contextualSpacing/>
      <w:jc w:val="both"/>
    </w:pPr>
    <w:rPr>
      <w:rFonts w:ascii="Calibri" w:hAnsi="Calibri"/>
      <w:szCs w:val="22"/>
      <w:lang w:val="en-US" w:eastAsia="en-US" w:bidi="en-US"/>
    </w:rPr>
  </w:style>
  <w:style w:type="paragraph" w:styleId="Header">
    <w:name w:val="header"/>
    <w:basedOn w:val="Normal"/>
    <w:link w:val="HeaderChar"/>
    <w:uiPriority w:val="99"/>
    <w:unhideWhenUsed/>
    <w:rsid w:val="003608DD"/>
    <w:pPr>
      <w:tabs>
        <w:tab w:val="center" w:pos="4513"/>
        <w:tab w:val="right" w:pos="9026"/>
      </w:tabs>
    </w:pPr>
  </w:style>
  <w:style w:type="character" w:customStyle="1" w:styleId="HeaderChar">
    <w:name w:val="Header Char"/>
    <w:basedOn w:val="DefaultParagraphFont"/>
    <w:link w:val="Header"/>
    <w:uiPriority w:val="99"/>
    <w:rsid w:val="003608DD"/>
    <w:rPr>
      <w:rFonts w:eastAsia="Times New Roman" w:cs="Times New Roman"/>
      <w:szCs w:val="20"/>
      <w:lang w:eastAsia="en-AU"/>
    </w:rPr>
  </w:style>
  <w:style w:type="paragraph" w:styleId="Footer">
    <w:name w:val="footer"/>
    <w:basedOn w:val="Normal"/>
    <w:link w:val="FooterChar"/>
    <w:uiPriority w:val="99"/>
    <w:unhideWhenUsed/>
    <w:rsid w:val="003608DD"/>
    <w:pPr>
      <w:tabs>
        <w:tab w:val="center" w:pos="4513"/>
        <w:tab w:val="right" w:pos="9026"/>
      </w:tabs>
    </w:pPr>
  </w:style>
  <w:style w:type="character" w:customStyle="1" w:styleId="FooterChar">
    <w:name w:val="Footer Char"/>
    <w:basedOn w:val="DefaultParagraphFont"/>
    <w:link w:val="Footer"/>
    <w:uiPriority w:val="99"/>
    <w:rsid w:val="003608DD"/>
    <w:rPr>
      <w:rFonts w:eastAsia="Times New Roman" w:cs="Times New Roman"/>
      <w:szCs w:val="20"/>
      <w:lang w:eastAsia="en-AU"/>
    </w:rPr>
  </w:style>
  <w:style w:type="paragraph" w:styleId="BalloonText">
    <w:name w:val="Balloon Text"/>
    <w:basedOn w:val="Normal"/>
    <w:link w:val="BalloonTextChar"/>
    <w:uiPriority w:val="99"/>
    <w:semiHidden/>
    <w:unhideWhenUsed/>
    <w:rsid w:val="003608DD"/>
    <w:rPr>
      <w:rFonts w:ascii="Tahoma" w:hAnsi="Tahoma" w:cs="Tahoma"/>
      <w:sz w:val="16"/>
      <w:szCs w:val="16"/>
    </w:rPr>
  </w:style>
  <w:style w:type="character" w:customStyle="1" w:styleId="BalloonTextChar">
    <w:name w:val="Balloon Text Char"/>
    <w:basedOn w:val="DefaultParagraphFont"/>
    <w:link w:val="BalloonText"/>
    <w:uiPriority w:val="99"/>
    <w:semiHidden/>
    <w:rsid w:val="003608DD"/>
    <w:rPr>
      <w:rFonts w:ascii="Tahoma" w:eastAsia="Times New Roman" w:hAnsi="Tahoma" w:cs="Tahoma"/>
      <w:sz w:val="16"/>
      <w:szCs w:val="16"/>
      <w:lang w:eastAsia="en-AU"/>
    </w:rPr>
  </w:style>
  <w:style w:type="table" w:styleId="TableGrid">
    <w:name w:val="Table Grid"/>
    <w:basedOn w:val="TableNormal"/>
    <w:uiPriority w:val="59"/>
    <w:rsid w:val="00771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13A33-061A-4337-B5CA-325552F56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1413</Words>
  <Characters>8059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 Diner</dc:creator>
  <cp:lastModifiedBy>Charlie Beckley</cp:lastModifiedBy>
  <cp:revision>2</cp:revision>
  <cp:lastPrinted>2020-02-13T05:03:00Z</cp:lastPrinted>
  <dcterms:created xsi:type="dcterms:W3CDTF">2023-02-15T02:09:00Z</dcterms:created>
  <dcterms:modified xsi:type="dcterms:W3CDTF">2023-02-15T02:09:00Z</dcterms:modified>
</cp:coreProperties>
</file>